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8BA" w:rsidRDefault="00FE78BA">
      <w:pPr>
        <w:spacing w:line="600" w:lineRule="exact"/>
        <w:jc w:val="center"/>
        <w:outlineLvl w:val="0"/>
        <w:rPr>
          <w:rFonts w:ascii="方正小标宋简体" w:eastAsia="方正小标宋简体" w:hAnsi="宋体" w:hint="eastAsia"/>
          <w:color w:val="000000"/>
          <w:sz w:val="72"/>
          <w:szCs w:val="72"/>
        </w:rPr>
      </w:pPr>
      <w:bookmarkStart w:id="0" w:name="_Toc15306267"/>
    </w:p>
    <w:p w:rsidR="00FE78BA" w:rsidRDefault="00FE78BA">
      <w:pPr>
        <w:spacing w:line="600" w:lineRule="exact"/>
        <w:jc w:val="center"/>
        <w:outlineLvl w:val="0"/>
        <w:rPr>
          <w:rFonts w:ascii="方正小标宋简体" w:eastAsia="方正小标宋简体" w:hAnsi="宋体"/>
          <w:color w:val="000000"/>
          <w:sz w:val="72"/>
          <w:szCs w:val="72"/>
        </w:rPr>
      </w:pPr>
    </w:p>
    <w:p w:rsidR="00FE78BA" w:rsidRDefault="00FE78BA">
      <w:pPr>
        <w:spacing w:line="600" w:lineRule="exact"/>
        <w:jc w:val="center"/>
        <w:outlineLvl w:val="0"/>
        <w:rPr>
          <w:rFonts w:ascii="方正小标宋简体" w:eastAsia="方正小标宋简体" w:hAnsi="宋体"/>
          <w:color w:val="000000"/>
          <w:sz w:val="72"/>
          <w:szCs w:val="72"/>
        </w:rPr>
      </w:pPr>
    </w:p>
    <w:p w:rsidR="00FE78BA" w:rsidRDefault="00FE78BA">
      <w:pPr>
        <w:spacing w:line="600" w:lineRule="exact"/>
        <w:jc w:val="center"/>
        <w:outlineLvl w:val="0"/>
        <w:rPr>
          <w:rFonts w:ascii="方正小标宋简体" w:eastAsia="方正小标宋简体" w:hAnsi="宋体"/>
          <w:color w:val="000000"/>
          <w:sz w:val="72"/>
          <w:szCs w:val="72"/>
        </w:rPr>
      </w:pPr>
    </w:p>
    <w:p w:rsidR="00FE78BA" w:rsidRDefault="00FE370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597"/>
      <w:bookmarkStart w:id="2" w:name="_Toc15396475"/>
      <w:bookmarkStart w:id="3" w:name="_Toc15378441"/>
      <w:bookmarkStart w:id="4" w:name="_Toc15377425"/>
      <w:bookmarkStart w:id="5" w:name="_Toc15377193"/>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FE78BA" w:rsidRDefault="00FE370A">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96476"/>
      <w:bookmarkStart w:id="8" w:name="_Toc15378442"/>
      <w:bookmarkStart w:id="9" w:name="_Toc15396598"/>
      <w:bookmarkStart w:id="10" w:name="_Toc15377426"/>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福集镇部门决算</w:t>
      </w:r>
      <w:bookmarkEnd w:id="6"/>
      <w:bookmarkEnd w:id="7"/>
      <w:bookmarkEnd w:id="8"/>
      <w:bookmarkEnd w:id="9"/>
      <w:bookmarkEnd w:id="10"/>
      <w:bookmarkEnd w:id="11"/>
    </w:p>
    <w:p w:rsidR="00FE78BA" w:rsidRDefault="00FE370A">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FE78BA" w:rsidRDefault="00FE78BA">
      <w:pPr>
        <w:widowControl/>
        <w:jc w:val="center"/>
        <w:rPr>
          <w:rFonts w:ascii="黑体" w:eastAsia="黑体" w:hAnsi="黑体" w:cstheme="minorBidi"/>
          <w:sz w:val="28"/>
          <w:szCs w:val="28"/>
        </w:rPr>
      </w:pPr>
    </w:p>
    <w:p w:rsidR="00FE78BA" w:rsidRDefault="00FE370A">
      <w:pPr>
        <w:pStyle w:val="10"/>
      </w:pPr>
      <w:r>
        <w:rPr>
          <w:rFonts w:hint="eastAsia"/>
        </w:rPr>
        <w:t>公开时间：2020年9月3日</w:t>
      </w:r>
    </w:p>
    <w:p w:rsidR="00FE78BA" w:rsidRDefault="00FE78BA"/>
    <w:p w:rsidR="00FE78BA" w:rsidRDefault="00FE370A">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rsidR="00FE78BA" w:rsidRDefault="00FE370A">
      <w:pPr>
        <w:pStyle w:val="20"/>
        <w:adjustRightInd w:val="0"/>
        <w:snapToGrid w:val="0"/>
        <w:spacing w:line="440" w:lineRule="exact"/>
        <w:jc w:val="left"/>
        <w:rPr>
          <w:rFonts w:ascii="仿宋" w:eastAsia="仿宋" w:hAnsi="仿宋"/>
          <w:sz w:val="24"/>
        </w:rPr>
      </w:pPr>
      <w:r>
        <w:rPr>
          <w:rFonts w:hint="eastAsia"/>
          <w:sz w:val="24"/>
        </w:rPr>
        <w:t>一、基本职能及主要工作</w:t>
      </w:r>
    </w:p>
    <w:p w:rsidR="00FE78BA" w:rsidRDefault="00FE370A">
      <w:pPr>
        <w:pStyle w:val="20"/>
        <w:adjustRightInd w:val="0"/>
        <w:snapToGrid w:val="0"/>
        <w:spacing w:line="440" w:lineRule="exact"/>
        <w:jc w:val="left"/>
        <w:rPr>
          <w:rFonts w:ascii="仿宋" w:eastAsia="仿宋" w:hAnsi="仿宋" w:cstheme="minorBidi"/>
          <w:sz w:val="24"/>
        </w:rPr>
      </w:pPr>
      <w:r>
        <w:rPr>
          <w:rFonts w:hint="eastAsia"/>
          <w:sz w:val="24"/>
        </w:rPr>
        <w:t>二、机构设置</w:t>
      </w:r>
    </w:p>
    <w:p w:rsidR="00FE78BA" w:rsidRDefault="00FE370A">
      <w:pPr>
        <w:pStyle w:val="10"/>
        <w:adjustRightInd w:val="0"/>
        <w:snapToGrid w:val="0"/>
        <w:spacing w:before="0" w:line="440" w:lineRule="exact"/>
        <w:jc w:val="left"/>
        <w:rPr>
          <w:sz w:val="24"/>
          <w:szCs w:val="24"/>
        </w:rPr>
      </w:pPr>
      <w:r>
        <w:rPr>
          <w:rFonts w:hint="eastAsia"/>
          <w:sz w:val="24"/>
        </w:rPr>
        <w:t>第二部分</w:t>
      </w:r>
      <w:proofErr w:type="gramStart"/>
      <w:r>
        <w:rPr>
          <w:rFonts w:hint="eastAsia"/>
          <w:sz w:val="24"/>
        </w:rPr>
        <w:t>度部门</w:t>
      </w:r>
      <w:proofErr w:type="gramEnd"/>
      <w:r>
        <w:rPr>
          <w:rFonts w:hint="eastAsia"/>
          <w:sz w:val="24"/>
        </w:rPr>
        <w:t>决算情况说明</w:t>
      </w:r>
    </w:p>
    <w:p w:rsidR="00FE78BA" w:rsidRDefault="00FE370A">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FE78BA" w:rsidRDefault="00FE370A">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p>
    <w:p w:rsidR="00FE78BA" w:rsidRDefault="00FE370A">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p>
    <w:p w:rsidR="00FE78BA" w:rsidRDefault="00FE370A">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FE78BA" w:rsidRDefault="00FE370A">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FE78BA" w:rsidRDefault="00FE370A">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FE78BA" w:rsidRDefault="00FE370A">
      <w:pPr>
        <w:pStyle w:val="20"/>
        <w:adjustRightInd w:val="0"/>
        <w:snapToGrid w:val="0"/>
        <w:spacing w:line="440" w:lineRule="exact"/>
        <w:jc w:val="left"/>
        <w:rPr>
          <w:rFonts w:ascii="仿宋" w:eastAsia="仿宋" w:hAnsi="仿宋" w:cstheme="minorBidi"/>
          <w:sz w:val="24"/>
        </w:rPr>
      </w:pPr>
      <w:r>
        <w:rPr>
          <w:rFonts w:hint="eastAsia"/>
          <w:sz w:val="24"/>
        </w:rPr>
        <w:t>七、</w:t>
      </w:r>
      <w:r>
        <w:rPr>
          <w:sz w:val="24"/>
        </w:rPr>
        <w:t>“</w:t>
      </w:r>
      <w:r>
        <w:rPr>
          <w:rFonts w:hint="eastAsia"/>
          <w:sz w:val="24"/>
        </w:rPr>
        <w:t>三公”经费财政拨款支出决算情况说明</w:t>
      </w:r>
    </w:p>
    <w:p w:rsidR="00FE78BA" w:rsidRDefault="00FE370A">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FE78BA" w:rsidRDefault="00FE370A">
      <w:pPr>
        <w:pStyle w:val="20"/>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sz w:val="24"/>
        </w:rPr>
        <w:t xml:space="preserve"> </w:t>
      </w:r>
      <w:r>
        <w:rPr>
          <w:sz w:val="24"/>
        </w:rPr>
        <w:t>国</w:t>
      </w:r>
      <w:r>
        <w:rPr>
          <w:rFonts w:hint="eastAsia"/>
          <w:sz w:val="24"/>
        </w:rPr>
        <w:t>有资本经营预算支出决算情况说明</w:t>
      </w:r>
    </w:p>
    <w:p w:rsidR="00FE78BA" w:rsidRDefault="00FE370A">
      <w:pPr>
        <w:adjustRightInd w:val="0"/>
        <w:snapToGrid w:val="0"/>
        <w:spacing w:line="440" w:lineRule="exact"/>
        <w:ind w:firstLineChars="200" w:firstLine="480"/>
        <w:jc w:val="left"/>
        <w:rPr>
          <w:rFonts w:ascii="仿宋" w:eastAsia="仿宋" w:hAnsi="仿宋" w:cstheme="minorBidi"/>
          <w:sz w:val="24"/>
        </w:rPr>
      </w:pPr>
      <w:r>
        <w:rPr>
          <w:rStyle w:val="a8"/>
          <w:rFonts w:ascii="仿宋" w:eastAsia="仿宋" w:hAnsi="仿宋" w:hint="eastAsia"/>
          <w:color w:val="000000" w:themeColor="text1"/>
          <w:sz w:val="24"/>
          <w:u w:val="none"/>
        </w:rPr>
        <w:t>十、</w:t>
      </w:r>
      <w:r>
        <w:rPr>
          <w:rFonts w:hint="eastAsia"/>
          <w:sz w:val="24"/>
        </w:rPr>
        <w:t>其他重要事项的情况说明</w:t>
      </w:r>
      <w:r>
        <w:rPr>
          <w:rFonts w:ascii="仿宋" w:eastAsia="仿宋" w:hAnsi="仿宋"/>
          <w:sz w:val="24"/>
        </w:rPr>
        <w:tab/>
      </w:r>
    </w:p>
    <w:p w:rsidR="00FE78BA" w:rsidRDefault="00FE370A">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rsidR="00FE78BA" w:rsidRDefault="00FE370A">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rsidR="00FE78BA" w:rsidRDefault="00FE370A">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1</w:t>
      </w:r>
    </w:p>
    <w:p w:rsidR="00FE78BA" w:rsidRDefault="00FE370A">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2</w:t>
      </w:r>
    </w:p>
    <w:p w:rsidR="00FE78BA" w:rsidRDefault="00FE370A">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rsidR="00FE78BA" w:rsidRDefault="00FE370A">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p>
    <w:p w:rsidR="00FE78BA" w:rsidRDefault="00FE370A">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p>
    <w:p w:rsidR="00FE78BA" w:rsidRDefault="00FE370A">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p>
    <w:p w:rsidR="00FE78BA" w:rsidRDefault="00FE370A">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四、</w:t>
      </w:r>
      <w:r>
        <w:rPr>
          <w:rFonts w:hint="eastAsia"/>
          <w:sz w:val="24"/>
        </w:rPr>
        <w:t>财政拨款收入支出决算总表</w:t>
      </w:r>
    </w:p>
    <w:p w:rsidR="00FE78BA" w:rsidRDefault="00FE370A">
      <w:pPr>
        <w:pStyle w:val="20"/>
        <w:adjustRightInd w:val="0"/>
        <w:snapToGrid w:val="0"/>
        <w:spacing w:line="440" w:lineRule="exact"/>
        <w:jc w:val="left"/>
        <w:rPr>
          <w:rFonts w:ascii="仿宋" w:eastAsia="仿宋" w:hAnsi="仿宋"/>
          <w:sz w:val="24"/>
        </w:rPr>
      </w:pPr>
      <w:r>
        <w:rPr>
          <w:rFonts w:ascii="仿宋" w:eastAsia="仿宋" w:hAnsi="仿宋" w:hint="eastAsia"/>
          <w:sz w:val="24"/>
        </w:rPr>
        <w:t>五、财政拨款支出决算明细表</w:t>
      </w:r>
    </w:p>
    <w:p w:rsidR="00FE78BA" w:rsidRDefault="00FE370A">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六、</w:t>
      </w:r>
      <w:r>
        <w:rPr>
          <w:rFonts w:hint="eastAsia"/>
          <w:sz w:val="24"/>
        </w:rPr>
        <w:t>一般公共预算财政拨款支出决算表</w:t>
      </w:r>
    </w:p>
    <w:p w:rsidR="00FE78BA" w:rsidRDefault="00FE370A">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七、</w:t>
      </w:r>
      <w:r>
        <w:rPr>
          <w:rFonts w:hint="eastAsia"/>
          <w:sz w:val="24"/>
        </w:rPr>
        <w:t>一般公共预算财政拨款支出决算明细表</w:t>
      </w:r>
    </w:p>
    <w:p w:rsidR="00FE78BA" w:rsidRDefault="00FE370A">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lastRenderedPageBreak/>
        <w:t>八、</w:t>
      </w:r>
      <w:r>
        <w:rPr>
          <w:rFonts w:hint="eastAsia"/>
          <w:sz w:val="24"/>
        </w:rPr>
        <w:t>一般公共预算财政拨款基本支出决算表</w:t>
      </w:r>
    </w:p>
    <w:p w:rsidR="00FE78BA" w:rsidRDefault="00FE370A">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九、</w:t>
      </w:r>
      <w:r>
        <w:rPr>
          <w:rFonts w:hint="eastAsia"/>
          <w:sz w:val="24"/>
        </w:rPr>
        <w:t>一般公共预算财政拨款项目支出决算表</w:t>
      </w:r>
    </w:p>
    <w:p w:rsidR="00FE78BA" w:rsidRDefault="00FE370A">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w:t>
      </w:r>
      <w:r>
        <w:rPr>
          <w:rFonts w:hint="eastAsia"/>
          <w:sz w:val="24"/>
        </w:rPr>
        <w:t>一般公共预算财政拨款“三公”经费支出决算表</w:t>
      </w:r>
    </w:p>
    <w:p w:rsidR="00FE78BA" w:rsidRDefault="00FE370A">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十一、</w:t>
      </w:r>
      <w:r>
        <w:rPr>
          <w:rFonts w:hint="eastAsia"/>
          <w:sz w:val="24"/>
        </w:rPr>
        <w:t>政府性基金预算财政拨款收入支出决算表</w:t>
      </w:r>
    </w:p>
    <w:p w:rsidR="00FE78BA" w:rsidRDefault="00FE370A">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十二、</w:t>
      </w:r>
      <w:r>
        <w:rPr>
          <w:rFonts w:hint="eastAsia"/>
          <w:sz w:val="24"/>
        </w:rPr>
        <w:t>政府性基金预算财政拨款“三公”经费支出决算表</w:t>
      </w:r>
    </w:p>
    <w:p w:rsidR="00FE78BA" w:rsidRDefault="00FE370A">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十三、</w:t>
      </w:r>
      <w:r>
        <w:rPr>
          <w:rFonts w:hint="eastAsia"/>
          <w:sz w:val="24"/>
        </w:rPr>
        <w:t>国有资本经营预算支出决算表</w:t>
      </w:r>
    </w:p>
    <w:p w:rsidR="00FE78BA" w:rsidRDefault="00FE370A">
      <w:pPr>
        <w:widowControl/>
        <w:adjustRightInd w:val="0"/>
        <w:snapToGrid w:val="0"/>
        <w:spacing w:line="440" w:lineRule="exact"/>
        <w:ind w:firstLineChars="550" w:firstLine="1320"/>
        <w:jc w:val="left"/>
        <w:rPr>
          <w:rFonts w:ascii="仿宋" w:eastAsia="仿宋" w:hAnsi="仿宋"/>
          <w:color w:val="FF0000"/>
          <w:sz w:val="24"/>
        </w:rPr>
      </w:pPr>
      <w:r>
        <w:rPr>
          <w:rFonts w:ascii="仿宋" w:eastAsia="仿宋" w:hAnsi="仿宋"/>
          <w:color w:val="FF0000"/>
          <w:sz w:val="24"/>
        </w:rPr>
        <w:t>(注：</w:t>
      </w:r>
      <w:proofErr w:type="gramStart"/>
      <w:r>
        <w:rPr>
          <w:rFonts w:ascii="仿宋" w:eastAsia="仿宋" w:hAnsi="仿宋" w:hint="eastAsia"/>
          <w:color w:val="FF0000"/>
          <w:sz w:val="24"/>
        </w:rPr>
        <w:t>请部门</w:t>
      </w:r>
      <w:proofErr w:type="gramEnd"/>
      <w:r>
        <w:rPr>
          <w:rFonts w:ascii="仿宋" w:eastAsia="仿宋" w:hAnsi="仿宋" w:hint="eastAsia"/>
          <w:color w:val="FF0000"/>
          <w:sz w:val="24"/>
        </w:rPr>
        <w:t>根据实际注明页码</w:t>
      </w:r>
      <w:r>
        <w:rPr>
          <w:rFonts w:ascii="仿宋" w:eastAsia="仿宋" w:hAnsi="仿宋"/>
          <w:color w:val="FF0000"/>
          <w:sz w:val="24"/>
        </w:rPr>
        <w:t>)</w:t>
      </w:r>
    </w:p>
    <w:p w:rsidR="00FE78BA" w:rsidRDefault="00FE370A">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rsidR="00FE78BA" w:rsidRDefault="00FE370A">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FE78BA" w:rsidRDefault="00FE78BA">
      <w:pPr>
        <w:widowControl/>
        <w:jc w:val="left"/>
        <w:rPr>
          <w:rFonts w:ascii="黑体" w:eastAsia="黑体"/>
          <w:color w:val="000000"/>
          <w:sz w:val="32"/>
          <w:szCs w:val="32"/>
        </w:rPr>
      </w:pPr>
    </w:p>
    <w:p w:rsidR="00FE78BA" w:rsidRDefault="00FE370A">
      <w:pPr>
        <w:pStyle w:val="2"/>
        <w:rPr>
          <w:rStyle w:val="2Char"/>
          <w:rFonts w:ascii="仿宋" w:eastAsia="仿宋" w:hAnsi="仿宋"/>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FE78BA" w:rsidRDefault="00FE370A">
      <w:pPr>
        <w:pStyle w:val="a3"/>
        <w:adjustRightInd w:val="0"/>
        <w:spacing w:before="93" w:line="600" w:lineRule="exact"/>
        <w:ind w:firstLineChars="210" w:firstLine="672"/>
        <w:outlineLvl w:val="2"/>
        <w:rPr>
          <w:rFonts w:ascii="仿宋" w:eastAsia="仿宋" w:hAnsi="仿宋"/>
          <w:bCs/>
          <w:color w:val="000000"/>
          <w:sz w:val="32"/>
          <w:szCs w:val="32"/>
        </w:rPr>
      </w:pPr>
      <w:bookmarkStart w:id="16" w:name="_Toc15377198"/>
      <w:bookmarkStart w:id="17" w:name="_Toc15378445"/>
      <w:r>
        <w:rPr>
          <w:rFonts w:ascii="仿宋" w:eastAsia="仿宋" w:hAnsi="仿宋" w:hint="eastAsia"/>
          <w:bCs/>
          <w:color w:val="000000"/>
          <w:sz w:val="32"/>
          <w:szCs w:val="32"/>
        </w:rPr>
        <w:t>（一）主要职能。</w:t>
      </w:r>
      <w:bookmarkStart w:id="18" w:name="_Toc15377199"/>
      <w:bookmarkStart w:id="19" w:name="_Toc15378446"/>
      <w:bookmarkEnd w:id="16"/>
      <w:bookmarkEnd w:id="17"/>
      <w:r>
        <w:rPr>
          <w:rFonts w:ascii="仿宋" w:eastAsia="仿宋" w:hAnsi="仿宋" w:hint="eastAsia"/>
          <w:bCs/>
          <w:color w:val="000000"/>
          <w:sz w:val="32"/>
          <w:szCs w:val="32"/>
        </w:rPr>
        <w:t>1、主要职能。</w:t>
      </w:r>
    </w:p>
    <w:p w:rsidR="00FE78BA" w:rsidRDefault="00FE370A">
      <w:pPr>
        <w:pStyle w:val="a3"/>
        <w:adjustRightInd w:val="0"/>
        <w:spacing w:before="93" w:line="600" w:lineRule="exact"/>
        <w:ind w:firstLineChars="210" w:firstLine="672"/>
        <w:outlineLvl w:val="2"/>
        <w:rPr>
          <w:rFonts w:ascii="仿宋" w:eastAsia="仿宋" w:hAnsi="仿宋"/>
          <w:bCs/>
          <w:color w:val="000000"/>
          <w:sz w:val="32"/>
          <w:szCs w:val="32"/>
        </w:rPr>
      </w:pPr>
      <w:r>
        <w:rPr>
          <w:rFonts w:ascii="仿宋" w:eastAsia="仿宋" w:hAnsi="仿宋"/>
          <w:bCs/>
          <w:color w:val="000000"/>
          <w:sz w:val="32"/>
          <w:szCs w:val="32"/>
        </w:rPr>
        <w:t>福集镇隶属四川省泸州市泸县，位于</w:t>
      </w:r>
      <w:hyperlink r:id="rId8" w:tgtFrame="_blank" w:history="1">
        <w:r>
          <w:rPr>
            <w:rStyle w:val="a8"/>
            <w:rFonts w:ascii="仿宋" w:eastAsia="仿宋" w:hAnsi="仿宋"/>
            <w:bCs/>
            <w:sz w:val="32"/>
            <w:szCs w:val="32"/>
          </w:rPr>
          <w:t>四川</w:t>
        </w:r>
      </w:hyperlink>
      <w:r>
        <w:rPr>
          <w:rFonts w:ascii="仿宋" w:eastAsia="仿宋" w:hAnsi="仿宋"/>
          <w:bCs/>
          <w:color w:val="000000"/>
          <w:sz w:val="32"/>
          <w:szCs w:val="32"/>
        </w:rPr>
        <w:t>省南部、</w:t>
      </w:r>
      <w:hyperlink r:id="rId9" w:tgtFrame="_blank" w:history="1">
        <w:r>
          <w:rPr>
            <w:rStyle w:val="a8"/>
            <w:rFonts w:ascii="仿宋" w:eastAsia="仿宋" w:hAnsi="仿宋"/>
            <w:bCs/>
            <w:sz w:val="32"/>
            <w:szCs w:val="32"/>
          </w:rPr>
          <w:t>泸州</w:t>
        </w:r>
      </w:hyperlink>
      <w:r>
        <w:rPr>
          <w:rFonts w:ascii="仿宋" w:eastAsia="仿宋" w:hAnsi="仿宋"/>
          <w:bCs/>
          <w:color w:val="000000"/>
          <w:sz w:val="32"/>
          <w:szCs w:val="32"/>
        </w:rPr>
        <w:t>市西北部；与自贡市</w:t>
      </w:r>
      <w:hyperlink r:id="rId10" w:tgtFrame="_blank" w:history="1">
        <w:r>
          <w:rPr>
            <w:rStyle w:val="a8"/>
            <w:rFonts w:ascii="仿宋" w:eastAsia="仿宋" w:hAnsi="仿宋"/>
            <w:bCs/>
            <w:sz w:val="32"/>
            <w:szCs w:val="32"/>
          </w:rPr>
          <w:t>富顺县</w:t>
        </w:r>
      </w:hyperlink>
      <w:r>
        <w:rPr>
          <w:rFonts w:ascii="仿宋" w:eastAsia="仿宋" w:hAnsi="仿宋"/>
          <w:bCs/>
          <w:color w:val="000000"/>
          <w:sz w:val="32"/>
          <w:szCs w:val="32"/>
        </w:rPr>
        <w:t>古佛乡、内江市</w:t>
      </w:r>
      <w:hyperlink r:id="rId11" w:tgtFrame="_blank" w:history="1">
        <w:r>
          <w:rPr>
            <w:rStyle w:val="a8"/>
            <w:rFonts w:ascii="仿宋" w:eastAsia="仿宋" w:hAnsi="仿宋"/>
            <w:bCs/>
            <w:sz w:val="32"/>
            <w:szCs w:val="32"/>
          </w:rPr>
          <w:t>隆昌县</w:t>
        </w:r>
      </w:hyperlink>
      <w:r>
        <w:rPr>
          <w:rFonts w:ascii="仿宋" w:eastAsia="仿宋" w:hAnsi="仿宋"/>
          <w:bCs/>
          <w:color w:val="000000"/>
          <w:sz w:val="32"/>
          <w:szCs w:val="32"/>
        </w:rPr>
        <w:t>云顶镇接壤。</w:t>
      </w:r>
      <w:proofErr w:type="gramStart"/>
      <w:r>
        <w:rPr>
          <w:rFonts w:ascii="仿宋" w:eastAsia="仿宋" w:hAnsi="仿宋"/>
          <w:bCs/>
          <w:color w:val="000000"/>
          <w:sz w:val="32"/>
          <w:szCs w:val="32"/>
        </w:rPr>
        <w:t>隆纳高速公路</w:t>
      </w:r>
      <w:proofErr w:type="gramEnd"/>
      <w:r>
        <w:rPr>
          <w:rFonts w:ascii="仿宋" w:eastAsia="仿宋" w:hAnsi="仿宋"/>
          <w:bCs/>
          <w:color w:val="000000"/>
          <w:sz w:val="32"/>
          <w:szCs w:val="32"/>
        </w:rPr>
        <w:t>、</w:t>
      </w:r>
      <w:proofErr w:type="gramStart"/>
      <w:r>
        <w:rPr>
          <w:rFonts w:ascii="仿宋" w:eastAsia="仿宋" w:hAnsi="仿宋"/>
          <w:bCs/>
          <w:color w:val="000000"/>
          <w:sz w:val="32"/>
          <w:szCs w:val="32"/>
        </w:rPr>
        <w:t>隆叙铁路</w:t>
      </w:r>
      <w:proofErr w:type="gramEnd"/>
      <w:r>
        <w:rPr>
          <w:rFonts w:ascii="仿宋" w:eastAsia="仿宋" w:hAnsi="仿宋"/>
          <w:bCs/>
          <w:color w:val="000000"/>
          <w:sz w:val="32"/>
          <w:szCs w:val="32"/>
        </w:rPr>
        <w:t>、省道219贯穿全境。</w:t>
      </w:r>
      <w:r>
        <w:rPr>
          <w:rFonts w:ascii="仿宋" w:eastAsia="仿宋" w:hAnsi="仿宋" w:hint="eastAsia"/>
          <w:bCs/>
          <w:color w:val="000000"/>
          <w:sz w:val="32"/>
          <w:szCs w:val="32"/>
        </w:rPr>
        <w:t>镇政府主要</w:t>
      </w:r>
      <w:r>
        <w:rPr>
          <w:rFonts w:ascii="仿宋" w:eastAsia="仿宋" w:hAnsi="仿宋"/>
          <w:bCs/>
          <w:color w:val="000000"/>
          <w:sz w:val="32"/>
          <w:szCs w:val="32"/>
        </w:rPr>
        <w:t>职能</w:t>
      </w:r>
      <w:r>
        <w:rPr>
          <w:rFonts w:ascii="仿宋" w:eastAsia="仿宋" w:hAnsi="仿宋" w:hint="eastAsia"/>
          <w:bCs/>
          <w:color w:val="000000"/>
          <w:sz w:val="32"/>
          <w:szCs w:val="32"/>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rsidR="00FE78BA" w:rsidRDefault="00FE370A">
      <w:pPr>
        <w:pStyle w:val="a3"/>
        <w:adjustRightIn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（2）、制定并组织实施村镇建设规划，部署重点工程建设，地方道路建设及公共设施，水利设施的管理，负责土地、林木、水等自然资源和生态环境的保护，做好护林防火工作。</w:t>
      </w:r>
    </w:p>
    <w:p w:rsidR="00FE78BA" w:rsidRDefault="00FE370A">
      <w:pPr>
        <w:pStyle w:val="a3"/>
        <w:adjustRightIn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rsidR="00FE78BA" w:rsidRDefault="00FE370A">
      <w:pPr>
        <w:pStyle w:val="a3"/>
        <w:adjustRightIn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lastRenderedPageBreak/>
        <w:t>（4）、按计划组织本级财政收入和地方税的征收，完成国家财政计划，不断培植税源，管好财政资金，增强财政实力。</w:t>
      </w:r>
    </w:p>
    <w:p w:rsidR="00FE78BA" w:rsidRDefault="00FE370A">
      <w:pPr>
        <w:pStyle w:val="a3"/>
        <w:adjustRightIn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（5）、抓好精神文明建设，丰富群众文化生活，提倡移风易俗，反对封建迷信，破除陈规陋习，树立社会主义新风尚。</w:t>
      </w:r>
    </w:p>
    <w:p w:rsidR="00FE78BA" w:rsidRDefault="00FE370A">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（6）、完成上级政府交办的其它事项。</w:t>
      </w:r>
    </w:p>
    <w:p w:rsidR="00FE78BA" w:rsidRDefault="00FE370A">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bookmarkEnd w:id="18"/>
      <w:bookmarkEnd w:id="19"/>
    </w:p>
    <w:p w:rsidR="00FE78BA" w:rsidRDefault="00FE370A">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产业结构进一步优化，乡村振兴有一定突破，脱贫攻坚呈现新实效，民生事业实现持续改善，不断增加环保投入，改善生活生产环境。不断增加基础设施建设，不断改进民生环境。</w:t>
      </w:r>
    </w:p>
    <w:p w:rsidR="00FE78BA" w:rsidRDefault="00FE370A">
      <w:pPr>
        <w:pStyle w:val="2"/>
        <w:ind w:firstLineChars="200" w:firstLine="640"/>
        <w:rPr>
          <w:rStyle w:val="2Char"/>
        </w:rPr>
      </w:pPr>
      <w:bookmarkStart w:id="20" w:name="_Toc15396601"/>
      <w:bookmarkStart w:id="21"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FE78BA" w:rsidRDefault="00FE370A">
      <w:pPr>
        <w:widowControl/>
        <w:jc w:val="left"/>
        <w:rPr>
          <w:rFonts w:ascii="仿宋" w:eastAsia="仿宋" w:hAnsi="仿宋"/>
          <w:color w:val="000000"/>
          <w:kern w:val="0"/>
          <w:sz w:val="32"/>
          <w:szCs w:val="32"/>
        </w:rPr>
      </w:pPr>
      <w:r>
        <w:rPr>
          <w:rFonts w:ascii="仿宋" w:eastAsia="仿宋" w:hAnsi="仿宋" w:hint="eastAsia"/>
          <w:sz w:val="32"/>
          <w:szCs w:val="32"/>
        </w:rPr>
        <w:t>行政机构1个,事业机构6个。事业单位比上年减少2个，原因是政府内事业单位独立编制，未独立核算（村镇建设中心、</w:t>
      </w:r>
      <w:proofErr w:type="gramStart"/>
      <w:r>
        <w:rPr>
          <w:rFonts w:ascii="仿宋" w:eastAsia="仿宋" w:hAnsi="仿宋" w:hint="eastAsia"/>
          <w:sz w:val="32"/>
          <w:szCs w:val="32"/>
        </w:rPr>
        <w:t>社事中心</w:t>
      </w:r>
      <w:proofErr w:type="gramEnd"/>
      <w:r>
        <w:rPr>
          <w:rFonts w:ascii="仿宋" w:eastAsia="仿宋" w:hAnsi="仿宋" w:hint="eastAsia"/>
          <w:sz w:val="32"/>
          <w:szCs w:val="32"/>
        </w:rPr>
        <w:t>）</w:t>
      </w:r>
      <w:r>
        <w:rPr>
          <w:rFonts w:ascii="仿宋" w:eastAsia="仿宋" w:hAnsi="仿宋"/>
          <w:sz w:val="32"/>
          <w:szCs w:val="32"/>
        </w:rPr>
        <w:t>。</w:t>
      </w:r>
      <w:r>
        <w:rPr>
          <w:rFonts w:ascii="仿宋" w:eastAsia="仿宋" w:hAnsi="仿宋"/>
          <w:color w:val="000000"/>
          <w:sz w:val="32"/>
          <w:szCs w:val="32"/>
        </w:rPr>
        <w:br w:type="page"/>
      </w:r>
    </w:p>
    <w:p w:rsidR="00FE78BA" w:rsidRDefault="00FE370A">
      <w:pPr>
        <w:pStyle w:val="1"/>
        <w:ind w:right="440"/>
        <w:jc w:val="right"/>
        <w:rPr>
          <w:rStyle w:val="1Char"/>
          <w:rFonts w:ascii="黑体" w:eastAsia="黑体" w:hAnsi="黑体"/>
        </w:rPr>
      </w:pPr>
      <w:bookmarkStart w:id="22" w:name="_Toc15396602"/>
      <w:bookmarkStart w:id="23" w:name="_Toc15377204"/>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2019年度部门决算情况说明</w:t>
      </w:r>
      <w:bookmarkEnd w:id="22"/>
      <w:bookmarkEnd w:id="23"/>
    </w:p>
    <w:p w:rsidR="00FE78BA" w:rsidRDefault="00FE78BA"/>
    <w:p w:rsidR="00FE78BA" w:rsidRDefault="00FE370A">
      <w:pPr>
        <w:pStyle w:val="a9"/>
        <w:numPr>
          <w:ilvl w:val="0"/>
          <w:numId w:val="1"/>
        </w:numPr>
        <w:spacing w:line="600" w:lineRule="exact"/>
        <w:ind w:firstLineChars="0"/>
        <w:outlineLvl w:val="1"/>
        <w:rPr>
          <w:rStyle w:val="2Char"/>
          <w:rFonts w:ascii="黑体" w:eastAsia="黑体" w:hAnsi="黑体"/>
          <w:b w:val="0"/>
        </w:rPr>
      </w:pPr>
      <w:bookmarkStart w:id="24" w:name="_Toc15377205"/>
      <w:bookmarkStart w:id="25"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4"/>
      <w:bookmarkEnd w:id="25"/>
    </w:p>
    <w:p w:rsidR="00FE78BA" w:rsidRPr="00CE4004" w:rsidRDefault="00FE370A" w:rsidP="00CE4004">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2019年度收、支总计</w:t>
      </w:r>
      <w:r w:rsidR="00CE4004">
        <w:rPr>
          <w:rFonts w:ascii="仿宋" w:eastAsia="仿宋" w:hAnsi="仿宋" w:hint="eastAsia"/>
          <w:color w:val="000000" w:themeColor="text1"/>
          <w:sz w:val="32"/>
          <w:szCs w:val="32"/>
        </w:rPr>
        <w:t>9241.02</w:t>
      </w:r>
      <w:r>
        <w:rPr>
          <w:rFonts w:ascii="仿宋" w:eastAsia="仿宋" w:hAnsi="仿宋" w:hint="eastAsia"/>
          <w:color w:val="000000"/>
          <w:sz w:val="32"/>
          <w:szCs w:val="32"/>
        </w:rPr>
        <w:t>万元。与2018年相比，收、支总计各增加</w:t>
      </w:r>
      <w:r w:rsidR="00CE4004">
        <w:rPr>
          <w:rFonts w:ascii="仿宋" w:eastAsia="仿宋" w:hAnsi="仿宋"/>
          <w:color w:val="000000"/>
          <w:sz w:val="32"/>
          <w:szCs w:val="32"/>
        </w:rPr>
        <w:t>1022.95</w:t>
      </w:r>
      <w:r>
        <w:rPr>
          <w:rFonts w:ascii="仿宋" w:eastAsia="仿宋" w:hAnsi="仿宋" w:hint="eastAsia"/>
          <w:color w:val="000000"/>
          <w:sz w:val="32"/>
          <w:szCs w:val="32"/>
        </w:rPr>
        <w:t>万元，增长</w:t>
      </w:r>
      <w:r w:rsidR="00CE4004">
        <w:rPr>
          <w:rFonts w:ascii="仿宋" w:eastAsia="仿宋" w:hAnsi="仿宋"/>
          <w:color w:val="000000"/>
          <w:sz w:val="32"/>
          <w:szCs w:val="32"/>
        </w:rPr>
        <w:t>12.45</w:t>
      </w:r>
      <w:r>
        <w:rPr>
          <w:rFonts w:ascii="仿宋" w:eastAsia="仿宋" w:hAnsi="仿宋"/>
          <w:color w:val="000000"/>
          <w:sz w:val="32"/>
          <w:szCs w:val="32"/>
        </w:rPr>
        <w:t>%</w:t>
      </w:r>
      <w:r>
        <w:rPr>
          <w:rFonts w:ascii="仿宋" w:eastAsia="仿宋" w:hAnsi="仿宋" w:hint="eastAsia"/>
          <w:color w:val="000000"/>
          <w:sz w:val="32"/>
          <w:szCs w:val="32"/>
        </w:rPr>
        <w:t>。主要变动原因是</w:t>
      </w:r>
      <w:r w:rsidR="00CE4004" w:rsidRPr="00CE4004">
        <w:rPr>
          <w:rFonts w:ascii="仿宋" w:eastAsia="仿宋" w:hAnsi="仿宋" w:hint="eastAsia"/>
          <w:color w:val="000000"/>
          <w:sz w:val="32"/>
          <w:szCs w:val="32"/>
        </w:rPr>
        <w:t>教育支出投入及民生项目</w:t>
      </w:r>
      <w:r w:rsidR="00CE4004">
        <w:rPr>
          <w:rFonts w:ascii="仿宋" w:eastAsia="仿宋" w:hAnsi="仿宋" w:hint="eastAsia"/>
          <w:color w:val="000000"/>
          <w:sz w:val="32"/>
          <w:szCs w:val="32"/>
        </w:rPr>
        <w:t>。</w:t>
      </w:r>
    </w:p>
    <w:p w:rsidR="00FE78BA" w:rsidRDefault="00FE370A">
      <w:pPr>
        <w:pStyle w:val="a9"/>
        <w:numPr>
          <w:ilvl w:val="0"/>
          <w:numId w:val="1"/>
        </w:numPr>
        <w:spacing w:line="600" w:lineRule="exact"/>
        <w:ind w:firstLineChars="0"/>
        <w:outlineLvl w:val="1"/>
        <w:rPr>
          <w:rStyle w:val="2Char"/>
          <w:rFonts w:ascii="黑体" w:eastAsia="黑体" w:hAnsi="黑体"/>
          <w:b w:val="0"/>
        </w:rPr>
      </w:pPr>
      <w:bookmarkStart w:id="26" w:name="_Toc15377206"/>
      <w:bookmarkStart w:id="27"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6"/>
      <w:bookmarkEnd w:id="27"/>
    </w:p>
    <w:p w:rsidR="00FE78BA" w:rsidRPr="00CE4004" w:rsidRDefault="00FE370A" w:rsidP="00CE4004">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w:t>
      </w:r>
      <w:r w:rsidR="00CE4004">
        <w:rPr>
          <w:rFonts w:ascii="仿宋" w:eastAsia="仿宋" w:hAnsi="仿宋" w:hint="eastAsia"/>
          <w:color w:val="000000" w:themeColor="text1"/>
          <w:sz w:val="32"/>
          <w:szCs w:val="32"/>
        </w:rPr>
        <w:t>9241.02</w:t>
      </w:r>
      <w:r>
        <w:rPr>
          <w:rFonts w:ascii="仿宋" w:eastAsia="仿宋" w:hAnsi="仿宋" w:hint="eastAsia"/>
          <w:color w:val="000000"/>
          <w:sz w:val="32"/>
          <w:szCs w:val="32"/>
        </w:rPr>
        <w:t>万元，其中：一般公共预算财政拨款收入</w:t>
      </w:r>
      <w:r w:rsidR="00CE4004">
        <w:rPr>
          <w:rFonts w:ascii="仿宋" w:eastAsia="仿宋" w:hAnsi="仿宋"/>
          <w:color w:val="000000" w:themeColor="text1"/>
          <w:sz w:val="32"/>
          <w:szCs w:val="32"/>
        </w:rPr>
        <w:t>2029</w:t>
      </w:r>
      <w:r>
        <w:rPr>
          <w:rFonts w:ascii="仿宋" w:eastAsia="仿宋" w:hAnsi="仿宋" w:hint="eastAsia"/>
          <w:color w:val="000000"/>
          <w:sz w:val="32"/>
          <w:szCs w:val="32"/>
        </w:rPr>
        <w:t>万元，占</w:t>
      </w:r>
      <w:r w:rsidR="00CE4004">
        <w:rPr>
          <w:rFonts w:ascii="仿宋" w:eastAsia="仿宋" w:hAnsi="仿宋"/>
          <w:color w:val="000000"/>
          <w:sz w:val="32"/>
          <w:szCs w:val="32"/>
        </w:rPr>
        <w:t>21.96</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sidR="00CE4004">
        <w:rPr>
          <w:rFonts w:ascii="仿宋" w:eastAsia="仿宋" w:hAnsi="仿宋" w:hint="eastAsia"/>
          <w:color w:val="000000" w:themeColor="text1"/>
          <w:sz w:val="32"/>
          <w:szCs w:val="32"/>
        </w:rPr>
        <w:t>322.25</w:t>
      </w:r>
      <w:r>
        <w:rPr>
          <w:rFonts w:ascii="仿宋" w:eastAsia="仿宋" w:hAnsi="仿宋" w:hint="eastAsia"/>
          <w:color w:val="000000"/>
          <w:sz w:val="32"/>
          <w:szCs w:val="32"/>
        </w:rPr>
        <w:t>万元，占</w:t>
      </w:r>
      <w:r w:rsidR="00CE4004">
        <w:rPr>
          <w:rFonts w:ascii="仿宋" w:eastAsia="仿宋" w:hAnsi="仿宋"/>
          <w:color w:val="000000"/>
          <w:sz w:val="32"/>
          <w:szCs w:val="32"/>
        </w:rPr>
        <w:t>3.49</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themeColor="text1"/>
          <w:sz w:val="32"/>
          <w:szCs w:val="32"/>
        </w:rPr>
        <w:t>上级补助收入</w:t>
      </w:r>
      <w:r w:rsidR="00CE4004">
        <w:rPr>
          <w:rFonts w:ascii="仿宋" w:eastAsia="仿宋" w:hAnsi="仿宋" w:hint="eastAsia"/>
          <w:color w:val="000000" w:themeColor="text1"/>
          <w:sz w:val="32"/>
          <w:szCs w:val="32"/>
        </w:rPr>
        <w:t>6889.77</w:t>
      </w:r>
      <w:r>
        <w:rPr>
          <w:rFonts w:ascii="仿宋" w:eastAsia="仿宋" w:hAnsi="仿宋" w:hint="eastAsia"/>
          <w:color w:val="000000"/>
          <w:sz w:val="32"/>
          <w:szCs w:val="32"/>
        </w:rPr>
        <w:t>万元，占</w:t>
      </w:r>
      <w:r w:rsidR="00CE4004">
        <w:rPr>
          <w:rFonts w:ascii="仿宋" w:eastAsia="仿宋" w:hAnsi="仿宋"/>
          <w:color w:val="000000"/>
          <w:sz w:val="32"/>
          <w:szCs w:val="32"/>
        </w:rPr>
        <w:t>74.56</w:t>
      </w:r>
      <w:r>
        <w:rPr>
          <w:rFonts w:ascii="仿宋" w:eastAsia="仿宋" w:hAnsi="仿宋"/>
          <w:color w:val="000000"/>
          <w:sz w:val="32"/>
          <w:szCs w:val="32"/>
        </w:rPr>
        <w:t>%</w:t>
      </w:r>
      <w:r>
        <w:rPr>
          <w:rFonts w:ascii="仿宋" w:eastAsia="仿宋" w:hAnsi="仿宋" w:hint="eastAsia"/>
          <w:color w:val="000000"/>
          <w:sz w:val="32"/>
          <w:szCs w:val="32"/>
        </w:rPr>
        <w:t>。</w:t>
      </w:r>
    </w:p>
    <w:p w:rsidR="00FE78BA" w:rsidRDefault="00FE370A">
      <w:pPr>
        <w:pStyle w:val="a9"/>
        <w:numPr>
          <w:ilvl w:val="0"/>
          <w:numId w:val="1"/>
        </w:numPr>
        <w:spacing w:line="600" w:lineRule="exact"/>
        <w:ind w:firstLineChars="0"/>
        <w:outlineLvl w:val="1"/>
        <w:rPr>
          <w:rStyle w:val="2Char"/>
          <w:rFonts w:ascii="黑体" w:eastAsia="黑体" w:hAnsi="黑体"/>
          <w:b w:val="0"/>
        </w:rPr>
      </w:pPr>
      <w:bookmarkStart w:id="28" w:name="_Toc15377207"/>
      <w:bookmarkStart w:id="29"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8"/>
      <w:bookmarkEnd w:id="29"/>
    </w:p>
    <w:p w:rsidR="00FE78BA" w:rsidRDefault="00FE370A">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w:t>
      </w:r>
      <w:r w:rsidR="00CE4004">
        <w:rPr>
          <w:rFonts w:ascii="仿宋" w:eastAsia="仿宋" w:hAnsi="仿宋" w:hint="eastAsia"/>
          <w:color w:val="000000" w:themeColor="text1"/>
          <w:sz w:val="32"/>
          <w:szCs w:val="32"/>
        </w:rPr>
        <w:t>9241.02</w:t>
      </w:r>
      <w:r>
        <w:rPr>
          <w:rFonts w:ascii="仿宋" w:eastAsia="仿宋" w:hAnsi="仿宋" w:hint="eastAsia"/>
          <w:color w:val="000000"/>
          <w:sz w:val="32"/>
          <w:szCs w:val="32"/>
        </w:rPr>
        <w:t>万元，其中：基本支出</w:t>
      </w:r>
      <w:r w:rsidR="00CE4004">
        <w:rPr>
          <w:rFonts w:ascii="仿宋" w:eastAsia="仿宋" w:hAnsi="仿宋" w:hint="eastAsia"/>
          <w:color w:val="000000" w:themeColor="text1"/>
          <w:sz w:val="32"/>
          <w:szCs w:val="32"/>
        </w:rPr>
        <w:t>4958.42</w:t>
      </w:r>
      <w:r>
        <w:rPr>
          <w:rFonts w:ascii="仿宋" w:eastAsia="仿宋" w:hAnsi="仿宋" w:hint="eastAsia"/>
          <w:color w:val="000000"/>
          <w:sz w:val="32"/>
          <w:szCs w:val="32"/>
        </w:rPr>
        <w:t>万元，占</w:t>
      </w:r>
      <w:r w:rsidR="00CE4004">
        <w:rPr>
          <w:rFonts w:ascii="仿宋" w:eastAsia="仿宋" w:hAnsi="仿宋"/>
          <w:color w:val="000000"/>
          <w:sz w:val="32"/>
          <w:szCs w:val="32"/>
        </w:rPr>
        <w:t>53.95</w:t>
      </w:r>
      <w:r>
        <w:rPr>
          <w:rFonts w:ascii="仿宋" w:eastAsia="仿宋" w:hAnsi="仿宋"/>
          <w:color w:val="000000"/>
          <w:sz w:val="32"/>
          <w:szCs w:val="32"/>
        </w:rPr>
        <w:t>%</w:t>
      </w:r>
      <w:r>
        <w:rPr>
          <w:rFonts w:ascii="仿宋" w:eastAsia="仿宋" w:hAnsi="仿宋" w:hint="eastAsia"/>
          <w:color w:val="000000"/>
          <w:sz w:val="32"/>
          <w:szCs w:val="32"/>
        </w:rPr>
        <w:t>；项目支出</w:t>
      </w:r>
      <w:r w:rsidR="00CE4004">
        <w:rPr>
          <w:rFonts w:ascii="仿宋" w:eastAsia="仿宋" w:hAnsi="仿宋"/>
          <w:color w:val="000000"/>
          <w:sz w:val="32"/>
          <w:szCs w:val="32"/>
        </w:rPr>
        <w:t>2919.97</w:t>
      </w:r>
      <w:r>
        <w:rPr>
          <w:rFonts w:ascii="仿宋" w:eastAsia="仿宋" w:hAnsi="仿宋" w:hint="eastAsia"/>
          <w:color w:val="000000"/>
          <w:sz w:val="32"/>
          <w:szCs w:val="32"/>
        </w:rPr>
        <w:t>万元，占</w:t>
      </w:r>
      <w:r w:rsidR="00CE4004">
        <w:rPr>
          <w:rFonts w:ascii="仿宋" w:eastAsia="仿宋" w:hAnsi="仿宋"/>
          <w:color w:val="000000"/>
          <w:sz w:val="32"/>
          <w:szCs w:val="32"/>
        </w:rPr>
        <w:t>31.6</w:t>
      </w:r>
      <w:r>
        <w:rPr>
          <w:rFonts w:ascii="仿宋" w:eastAsia="仿宋" w:hAnsi="仿宋"/>
          <w:color w:val="000000"/>
          <w:sz w:val="32"/>
          <w:szCs w:val="32"/>
        </w:rPr>
        <w:t>%</w:t>
      </w:r>
      <w:r>
        <w:rPr>
          <w:rFonts w:ascii="仿宋" w:eastAsia="仿宋" w:hAnsi="仿宋" w:hint="eastAsia"/>
          <w:color w:val="000000"/>
          <w:sz w:val="32"/>
          <w:szCs w:val="32"/>
        </w:rPr>
        <w:t>；上缴上级支出</w:t>
      </w:r>
      <w:r w:rsidR="00CE4004">
        <w:rPr>
          <w:rFonts w:ascii="仿宋" w:eastAsia="仿宋" w:hAnsi="仿宋"/>
          <w:color w:val="000000" w:themeColor="text1"/>
          <w:sz w:val="32"/>
          <w:szCs w:val="32"/>
        </w:rPr>
        <w:t>1362.63</w:t>
      </w:r>
      <w:r>
        <w:rPr>
          <w:rFonts w:ascii="仿宋" w:eastAsia="仿宋" w:hAnsi="仿宋" w:hint="eastAsia"/>
          <w:color w:val="000000"/>
          <w:sz w:val="32"/>
          <w:szCs w:val="32"/>
        </w:rPr>
        <w:t>万元，占</w:t>
      </w:r>
      <w:r w:rsidR="00CE4004">
        <w:rPr>
          <w:rFonts w:ascii="仿宋" w:eastAsia="仿宋" w:hAnsi="仿宋"/>
          <w:color w:val="000000"/>
          <w:sz w:val="32"/>
          <w:szCs w:val="32"/>
        </w:rPr>
        <w:t>14.75</w:t>
      </w:r>
      <w:r>
        <w:rPr>
          <w:rFonts w:ascii="仿宋" w:eastAsia="仿宋" w:hAnsi="仿宋"/>
          <w:color w:val="000000"/>
          <w:sz w:val="32"/>
          <w:szCs w:val="32"/>
        </w:rPr>
        <w:t>%</w:t>
      </w:r>
      <w:r>
        <w:rPr>
          <w:rFonts w:ascii="仿宋" w:eastAsia="仿宋" w:hAnsi="仿宋" w:hint="eastAsia"/>
          <w:color w:val="000000"/>
          <w:sz w:val="32"/>
          <w:szCs w:val="32"/>
        </w:rPr>
        <w:t>。</w:t>
      </w:r>
    </w:p>
    <w:p w:rsidR="00FE78BA" w:rsidRDefault="00FE370A">
      <w:pPr>
        <w:pStyle w:val="a9"/>
        <w:numPr>
          <w:ilvl w:val="0"/>
          <w:numId w:val="1"/>
        </w:numPr>
        <w:spacing w:line="600" w:lineRule="exact"/>
        <w:ind w:firstLineChars="0"/>
        <w:outlineLvl w:val="1"/>
        <w:rPr>
          <w:rStyle w:val="2Char"/>
          <w:rFonts w:ascii="黑体" w:eastAsia="黑体" w:hAnsi="黑体"/>
          <w:b w:val="0"/>
        </w:rPr>
      </w:pPr>
      <w:bookmarkStart w:id="30" w:name="_Toc15377208"/>
      <w:bookmarkStart w:id="31" w:name="_Toc15396606"/>
      <w:r>
        <w:rPr>
          <w:rFonts w:ascii="黑体" w:eastAsia="黑体" w:hAnsi="黑体" w:hint="eastAsia"/>
          <w:color w:val="000000"/>
          <w:sz w:val="32"/>
          <w:szCs w:val="32"/>
        </w:rPr>
        <w:t>财</w:t>
      </w:r>
      <w:r>
        <w:rPr>
          <w:rStyle w:val="2Char"/>
          <w:rFonts w:ascii="黑体" w:eastAsia="黑体" w:hAnsi="黑体" w:hint="eastAsia"/>
          <w:b w:val="0"/>
        </w:rPr>
        <w:t>政拨款收入支出决算总体情况说明</w:t>
      </w:r>
      <w:bookmarkEnd w:id="30"/>
      <w:bookmarkEnd w:id="31"/>
    </w:p>
    <w:p w:rsidR="00FE78BA" w:rsidRDefault="00FE370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（一）收入支出预算安排情况。</w:t>
      </w:r>
    </w:p>
    <w:p w:rsidR="00FE78BA" w:rsidRDefault="00FE370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当年本级财政收入合计9241.02万元。</w:t>
      </w:r>
    </w:p>
    <w:p w:rsidR="00FE78BA" w:rsidRDefault="00FE370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（1）、2019年我镇实现地方公共财政预算收地方一般公共预算收入</w:t>
      </w:r>
      <w:r>
        <w:rPr>
          <w:rFonts w:ascii="仿宋" w:eastAsia="仿宋" w:hAnsi="仿宋"/>
          <w:color w:val="000000" w:themeColor="text1"/>
          <w:sz w:val="32"/>
          <w:szCs w:val="32"/>
        </w:rPr>
        <w:t>2029</w:t>
      </w:r>
      <w:r>
        <w:rPr>
          <w:rFonts w:ascii="仿宋" w:eastAsia="仿宋" w:hAnsi="仿宋" w:hint="eastAsia"/>
          <w:color w:val="000000" w:themeColor="text1"/>
          <w:sz w:val="32"/>
          <w:szCs w:val="32"/>
        </w:rPr>
        <w:t>.00万元，与2018年相比下降181万元，完成任务数1806万元的112.34%。</w:t>
      </w:r>
    </w:p>
    <w:p w:rsidR="00FE78BA" w:rsidRDefault="00FE370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（2）、2019年上级补助收入6889.77万元。其中:增值</w:t>
      </w:r>
      <w:r>
        <w:rPr>
          <w:rFonts w:ascii="仿宋" w:eastAsia="仿宋" w:hAnsi="仿宋" w:hint="eastAsia"/>
          <w:color w:val="000000" w:themeColor="text1"/>
          <w:sz w:val="32"/>
          <w:szCs w:val="32"/>
        </w:rPr>
        <w:lastRenderedPageBreak/>
        <w:t>税和消费税返还补助收入</w:t>
      </w:r>
      <w:r>
        <w:rPr>
          <w:rFonts w:ascii="仿宋" w:eastAsia="仿宋" w:hAnsi="仿宋"/>
          <w:color w:val="000000" w:themeColor="text1"/>
          <w:sz w:val="32"/>
          <w:szCs w:val="32"/>
        </w:rPr>
        <w:t>210.38</w:t>
      </w:r>
      <w:r>
        <w:rPr>
          <w:rFonts w:ascii="仿宋" w:eastAsia="仿宋" w:hAnsi="仿宋" w:hint="eastAsia"/>
          <w:color w:val="000000" w:themeColor="text1"/>
          <w:sz w:val="32"/>
          <w:szCs w:val="32"/>
        </w:rPr>
        <w:t>万元、费改</w:t>
      </w:r>
      <w:proofErr w:type="gramStart"/>
      <w:r>
        <w:rPr>
          <w:rFonts w:ascii="仿宋" w:eastAsia="仿宋" w:hAnsi="仿宋" w:hint="eastAsia"/>
          <w:color w:val="000000" w:themeColor="text1"/>
          <w:sz w:val="32"/>
          <w:szCs w:val="32"/>
        </w:rPr>
        <w:t>税转移</w:t>
      </w:r>
      <w:proofErr w:type="gramEnd"/>
      <w:r>
        <w:rPr>
          <w:rFonts w:ascii="仿宋" w:eastAsia="仿宋" w:hAnsi="仿宋" w:hint="eastAsia"/>
          <w:color w:val="000000" w:themeColor="text1"/>
          <w:sz w:val="32"/>
          <w:szCs w:val="32"/>
        </w:rPr>
        <w:t>支付补助收入</w:t>
      </w:r>
      <w:r>
        <w:rPr>
          <w:rFonts w:ascii="仿宋" w:eastAsia="仿宋" w:hAnsi="仿宋"/>
          <w:color w:val="000000" w:themeColor="text1"/>
          <w:sz w:val="32"/>
          <w:szCs w:val="32"/>
        </w:rPr>
        <w:t>377.38</w:t>
      </w:r>
      <w:r>
        <w:rPr>
          <w:rFonts w:ascii="仿宋" w:eastAsia="仿宋" w:hAnsi="仿宋" w:hint="eastAsia"/>
          <w:color w:val="000000" w:themeColor="text1"/>
          <w:sz w:val="32"/>
          <w:szCs w:val="32"/>
        </w:rPr>
        <w:t>万元、增加工资转移支付补助收入</w:t>
      </w:r>
      <w:r>
        <w:rPr>
          <w:rFonts w:ascii="仿宋" w:eastAsia="仿宋" w:hAnsi="仿宋"/>
          <w:color w:val="000000" w:themeColor="text1"/>
          <w:sz w:val="32"/>
          <w:szCs w:val="32"/>
        </w:rPr>
        <w:t>199.88</w:t>
      </w:r>
      <w:r>
        <w:rPr>
          <w:rFonts w:ascii="仿宋" w:eastAsia="仿宋" w:hAnsi="仿宋" w:hint="eastAsia"/>
          <w:color w:val="000000" w:themeColor="text1"/>
          <w:sz w:val="32"/>
          <w:szCs w:val="32"/>
        </w:rPr>
        <w:t>万元、一般性转移支付补助收入</w:t>
      </w:r>
      <w:r>
        <w:rPr>
          <w:rFonts w:ascii="仿宋" w:eastAsia="仿宋" w:hAnsi="仿宋"/>
          <w:color w:val="000000" w:themeColor="text1"/>
          <w:sz w:val="32"/>
          <w:szCs w:val="32"/>
        </w:rPr>
        <w:t>192.15</w:t>
      </w:r>
      <w:r>
        <w:rPr>
          <w:rFonts w:ascii="仿宋" w:eastAsia="仿宋" w:hAnsi="仿宋" w:hint="eastAsia"/>
          <w:color w:val="000000" w:themeColor="text1"/>
          <w:sz w:val="32"/>
          <w:szCs w:val="32"/>
        </w:rPr>
        <w:t>万元、村干部提标</w:t>
      </w:r>
      <w:r>
        <w:rPr>
          <w:rFonts w:ascii="仿宋" w:eastAsia="仿宋" w:hAnsi="仿宋"/>
          <w:color w:val="000000" w:themeColor="text1"/>
          <w:sz w:val="32"/>
          <w:szCs w:val="32"/>
        </w:rPr>
        <w:t>83</w:t>
      </w:r>
      <w:r>
        <w:rPr>
          <w:rFonts w:ascii="仿宋" w:eastAsia="仿宋" w:hAnsi="仿宋" w:hint="eastAsia"/>
          <w:color w:val="000000" w:themeColor="text1"/>
          <w:sz w:val="32"/>
          <w:szCs w:val="32"/>
        </w:rPr>
        <w:t>.00万元、镇级基本财力保障补助183万元、其他财力补助1013.33万元、税改补助（所得税、契税、印花税）136.2万元、</w:t>
      </w:r>
      <w:proofErr w:type="gramStart"/>
      <w:r>
        <w:rPr>
          <w:rFonts w:ascii="仿宋" w:eastAsia="仿宋" w:hAnsi="仿宋" w:hint="eastAsia"/>
          <w:color w:val="000000" w:themeColor="text1"/>
          <w:sz w:val="32"/>
          <w:szCs w:val="32"/>
        </w:rPr>
        <w:t>教师五险</w:t>
      </w:r>
      <w:proofErr w:type="gramEnd"/>
      <w:r>
        <w:rPr>
          <w:rFonts w:ascii="仿宋" w:eastAsia="仿宋" w:hAnsi="仿宋"/>
          <w:color w:val="000000" w:themeColor="text1"/>
          <w:sz w:val="32"/>
          <w:szCs w:val="32"/>
        </w:rPr>
        <w:t>556.8285</w:t>
      </w:r>
      <w:r>
        <w:rPr>
          <w:rFonts w:ascii="仿宋" w:eastAsia="仿宋" w:hAnsi="仿宋" w:hint="eastAsia"/>
          <w:color w:val="000000" w:themeColor="text1"/>
          <w:sz w:val="32"/>
          <w:szCs w:val="32"/>
        </w:rPr>
        <w:t>万元、教师住房公积金</w:t>
      </w:r>
      <w:r>
        <w:rPr>
          <w:rFonts w:ascii="仿宋" w:eastAsia="仿宋" w:hAnsi="仿宋"/>
          <w:color w:val="000000" w:themeColor="text1"/>
          <w:sz w:val="32"/>
          <w:szCs w:val="32"/>
        </w:rPr>
        <w:t>233.9308</w:t>
      </w:r>
      <w:r>
        <w:rPr>
          <w:rFonts w:ascii="仿宋" w:eastAsia="仿宋" w:hAnsi="仿宋" w:hint="eastAsia"/>
          <w:color w:val="000000" w:themeColor="text1"/>
          <w:sz w:val="32"/>
          <w:szCs w:val="32"/>
        </w:rPr>
        <w:t>万元、教师基本工资</w:t>
      </w:r>
      <w:r>
        <w:rPr>
          <w:rFonts w:ascii="仿宋" w:eastAsia="仿宋" w:hAnsi="仿宋"/>
          <w:color w:val="000000" w:themeColor="text1"/>
          <w:sz w:val="32"/>
          <w:szCs w:val="32"/>
        </w:rPr>
        <w:t>1142.9474</w:t>
      </w:r>
      <w:r>
        <w:rPr>
          <w:rFonts w:ascii="仿宋" w:eastAsia="仿宋" w:hAnsi="仿宋" w:hint="eastAsia"/>
          <w:color w:val="000000" w:themeColor="text1"/>
          <w:sz w:val="32"/>
          <w:szCs w:val="32"/>
        </w:rPr>
        <w:t>万元、教师绩效工资补助</w:t>
      </w:r>
      <w:r>
        <w:rPr>
          <w:rFonts w:ascii="仿宋" w:eastAsia="仿宋" w:hAnsi="仿宋"/>
          <w:color w:val="000000" w:themeColor="text1"/>
          <w:sz w:val="32"/>
          <w:szCs w:val="32"/>
        </w:rPr>
        <w:t>862.638</w:t>
      </w:r>
      <w:r>
        <w:rPr>
          <w:rFonts w:ascii="仿宋" w:eastAsia="仿宋" w:hAnsi="仿宋" w:hint="eastAsia"/>
          <w:color w:val="000000" w:themeColor="text1"/>
          <w:sz w:val="32"/>
          <w:szCs w:val="32"/>
        </w:rPr>
        <w:t>万元、非税收入</w:t>
      </w:r>
      <w:r>
        <w:rPr>
          <w:rFonts w:ascii="仿宋" w:eastAsia="仿宋" w:hAnsi="仿宋"/>
          <w:color w:val="000000" w:themeColor="text1"/>
          <w:sz w:val="32"/>
          <w:szCs w:val="32"/>
        </w:rPr>
        <w:t>14.788482</w:t>
      </w:r>
      <w:r>
        <w:rPr>
          <w:rFonts w:ascii="仿宋" w:eastAsia="仿宋" w:hAnsi="仿宋" w:hint="eastAsia"/>
          <w:color w:val="000000" w:themeColor="text1"/>
          <w:sz w:val="32"/>
          <w:szCs w:val="32"/>
        </w:rPr>
        <w:t>万元、税收考核</w:t>
      </w:r>
      <w:r>
        <w:rPr>
          <w:rFonts w:ascii="仿宋" w:eastAsia="仿宋" w:hAnsi="仿宋"/>
          <w:color w:val="000000" w:themeColor="text1"/>
          <w:sz w:val="32"/>
          <w:szCs w:val="32"/>
        </w:rPr>
        <w:t>235</w:t>
      </w:r>
      <w:r>
        <w:rPr>
          <w:rFonts w:ascii="仿宋" w:eastAsia="仿宋" w:hAnsi="仿宋" w:hint="eastAsia"/>
          <w:color w:val="000000" w:themeColor="text1"/>
          <w:sz w:val="32"/>
          <w:szCs w:val="32"/>
        </w:rPr>
        <w:t>.00万元；散居特困人员供养</w:t>
      </w:r>
      <w:r>
        <w:rPr>
          <w:rFonts w:ascii="仿宋" w:eastAsia="仿宋" w:hAnsi="仿宋"/>
          <w:color w:val="000000" w:themeColor="text1"/>
          <w:sz w:val="32"/>
          <w:szCs w:val="32"/>
        </w:rPr>
        <w:t>152.497</w:t>
      </w:r>
      <w:r>
        <w:rPr>
          <w:rFonts w:ascii="仿宋" w:eastAsia="仿宋" w:hAnsi="仿宋" w:hint="eastAsia"/>
          <w:color w:val="000000" w:themeColor="text1"/>
          <w:sz w:val="32"/>
          <w:szCs w:val="32"/>
        </w:rPr>
        <w:t>万元；专项转移支付</w:t>
      </w:r>
      <w:r>
        <w:rPr>
          <w:rFonts w:ascii="仿宋" w:eastAsia="仿宋" w:hAnsi="仿宋"/>
          <w:color w:val="000000" w:themeColor="text1"/>
          <w:sz w:val="32"/>
          <w:szCs w:val="32"/>
        </w:rPr>
        <w:t>1295.828386</w:t>
      </w:r>
      <w:r>
        <w:rPr>
          <w:rFonts w:ascii="仿宋" w:eastAsia="仿宋" w:hAnsi="仿宋" w:hint="eastAsia"/>
          <w:color w:val="000000" w:themeColor="text1"/>
          <w:sz w:val="32"/>
          <w:szCs w:val="32"/>
        </w:rPr>
        <w:t>万元。</w:t>
      </w:r>
    </w:p>
    <w:p w:rsidR="00FE78BA" w:rsidRDefault="00FE370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（3）、政府性基金收入322.252万元。</w:t>
      </w:r>
    </w:p>
    <w:p w:rsidR="00FE78BA" w:rsidRDefault="00FE370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（二）收入支出预算执行情况。</w:t>
      </w:r>
    </w:p>
    <w:p w:rsidR="00FE78BA" w:rsidRDefault="00FE370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在安排支出问题上，我镇严格按照《预算法》的规定，贯彻“一要吃饭，二要建设”的原则，合理安排财政支出，统筹资金调度，确保教育、民生等重点支出的需要，同时按照公共财政基本框架的要求，规范供给范围，厉行节约，对行政事业的一般性经费支出严格把关。</w:t>
      </w:r>
    </w:p>
    <w:p w:rsidR="00FE78BA" w:rsidRDefault="00FE370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当年本级财政支出合计9241.02万元。</w:t>
      </w:r>
    </w:p>
    <w:p w:rsidR="00FE78BA" w:rsidRDefault="00FE370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（1）、根据我镇2019年财政收入情况，共安排我镇2019年财政支出7878.39 万元，</w:t>
      </w:r>
      <w:r>
        <w:rPr>
          <w:rFonts w:ascii="仿宋" w:eastAsia="仿宋" w:hAnsi="仿宋"/>
          <w:color w:val="000000" w:themeColor="text1"/>
          <w:sz w:val="32"/>
          <w:szCs w:val="32"/>
        </w:rPr>
        <w:t>比上年减少</w:t>
      </w:r>
      <w:r>
        <w:rPr>
          <w:rFonts w:ascii="仿宋" w:eastAsia="仿宋" w:hAnsi="仿宋" w:hint="eastAsia"/>
          <w:color w:val="000000" w:themeColor="text1"/>
          <w:sz w:val="32"/>
          <w:szCs w:val="32"/>
        </w:rPr>
        <w:t>4.13</w:t>
      </w:r>
      <w:r>
        <w:rPr>
          <w:rFonts w:ascii="仿宋" w:eastAsia="仿宋" w:hAnsi="仿宋"/>
          <w:color w:val="000000" w:themeColor="text1"/>
          <w:sz w:val="32"/>
          <w:szCs w:val="32"/>
        </w:rPr>
        <w:t>%，主要是由于经济下行，更加紧凑安排资金</w:t>
      </w:r>
      <w:r>
        <w:rPr>
          <w:rFonts w:ascii="仿宋" w:eastAsia="仿宋" w:hAnsi="仿宋" w:hint="eastAsia"/>
          <w:color w:val="000000" w:themeColor="text1"/>
          <w:sz w:val="32"/>
          <w:szCs w:val="32"/>
        </w:rPr>
        <w:t>。</w:t>
      </w:r>
    </w:p>
    <w:p w:rsidR="00FE78BA" w:rsidRDefault="00FE370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其中：一般公共服务支出652.24万元，占比</w:t>
      </w:r>
      <w:r>
        <w:rPr>
          <w:rFonts w:ascii="仿宋" w:eastAsia="仿宋" w:hAnsi="仿宋"/>
          <w:color w:val="000000" w:themeColor="text1"/>
          <w:sz w:val="32"/>
          <w:szCs w:val="32"/>
        </w:rPr>
        <w:t>的8.28%</w:t>
      </w:r>
      <w:r>
        <w:rPr>
          <w:rFonts w:ascii="仿宋" w:eastAsia="仿宋" w:hAnsi="仿宋" w:hint="eastAsia"/>
          <w:color w:val="000000" w:themeColor="text1"/>
          <w:sz w:val="32"/>
          <w:szCs w:val="32"/>
        </w:rPr>
        <w:t>；教育支出</w:t>
      </w:r>
      <w:r>
        <w:rPr>
          <w:rFonts w:ascii="仿宋" w:eastAsia="仿宋" w:hAnsi="仿宋"/>
          <w:color w:val="000000" w:themeColor="text1"/>
          <w:sz w:val="32"/>
          <w:szCs w:val="32"/>
        </w:rPr>
        <w:t>3561.91</w:t>
      </w:r>
      <w:r>
        <w:rPr>
          <w:rFonts w:ascii="仿宋" w:eastAsia="仿宋" w:hAnsi="仿宋" w:hint="eastAsia"/>
          <w:color w:val="000000" w:themeColor="text1"/>
          <w:sz w:val="32"/>
          <w:szCs w:val="32"/>
        </w:rPr>
        <w:t>万元，占比</w:t>
      </w:r>
      <w:r>
        <w:rPr>
          <w:rFonts w:ascii="仿宋" w:eastAsia="仿宋" w:hAnsi="仿宋"/>
          <w:color w:val="000000" w:themeColor="text1"/>
          <w:sz w:val="32"/>
          <w:szCs w:val="32"/>
        </w:rPr>
        <w:t>的45.21%</w:t>
      </w:r>
      <w:r>
        <w:rPr>
          <w:rFonts w:ascii="仿宋" w:eastAsia="仿宋" w:hAnsi="仿宋" w:hint="eastAsia"/>
          <w:color w:val="000000" w:themeColor="text1"/>
          <w:sz w:val="32"/>
          <w:szCs w:val="32"/>
        </w:rPr>
        <w:t>；科学技术支出</w:t>
      </w:r>
      <w:r>
        <w:rPr>
          <w:rFonts w:ascii="仿宋" w:eastAsia="仿宋" w:hAnsi="仿宋"/>
          <w:color w:val="000000" w:themeColor="text1"/>
          <w:sz w:val="32"/>
          <w:szCs w:val="32"/>
        </w:rPr>
        <w:t>51.02</w:t>
      </w:r>
      <w:r>
        <w:rPr>
          <w:rFonts w:ascii="仿宋" w:eastAsia="仿宋" w:hAnsi="仿宋" w:hint="eastAsia"/>
          <w:color w:val="000000" w:themeColor="text1"/>
          <w:sz w:val="32"/>
          <w:szCs w:val="32"/>
        </w:rPr>
        <w:lastRenderedPageBreak/>
        <w:t>万元，占比</w:t>
      </w:r>
      <w:r>
        <w:rPr>
          <w:rFonts w:ascii="仿宋" w:eastAsia="仿宋" w:hAnsi="仿宋"/>
          <w:color w:val="000000" w:themeColor="text1"/>
          <w:sz w:val="32"/>
          <w:szCs w:val="32"/>
        </w:rPr>
        <w:t>0.65%</w:t>
      </w:r>
      <w:r>
        <w:rPr>
          <w:rFonts w:ascii="仿宋" w:eastAsia="仿宋" w:hAnsi="仿宋" w:hint="eastAsia"/>
          <w:color w:val="000000" w:themeColor="text1"/>
          <w:sz w:val="32"/>
          <w:szCs w:val="32"/>
        </w:rPr>
        <w:t>；社会保障和就业支出</w:t>
      </w:r>
      <w:r>
        <w:rPr>
          <w:rFonts w:ascii="仿宋" w:eastAsia="仿宋" w:hAnsi="仿宋"/>
          <w:color w:val="000000" w:themeColor="text1"/>
          <w:sz w:val="32"/>
          <w:szCs w:val="32"/>
        </w:rPr>
        <w:t>611.98</w:t>
      </w:r>
      <w:r>
        <w:rPr>
          <w:rFonts w:ascii="仿宋" w:eastAsia="仿宋" w:hAnsi="仿宋" w:hint="eastAsia"/>
          <w:color w:val="000000" w:themeColor="text1"/>
          <w:sz w:val="32"/>
          <w:szCs w:val="32"/>
        </w:rPr>
        <w:t>万元，占比</w:t>
      </w:r>
      <w:r>
        <w:rPr>
          <w:rFonts w:ascii="仿宋" w:eastAsia="仿宋" w:hAnsi="仿宋"/>
          <w:color w:val="000000" w:themeColor="text1"/>
          <w:sz w:val="32"/>
          <w:szCs w:val="32"/>
        </w:rPr>
        <w:t>的7.77%</w:t>
      </w:r>
      <w:r>
        <w:rPr>
          <w:rFonts w:ascii="仿宋" w:eastAsia="仿宋" w:hAnsi="仿宋" w:hint="eastAsia"/>
          <w:color w:val="000000" w:themeColor="text1"/>
          <w:sz w:val="32"/>
          <w:szCs w:val="32"/>
        </w:rPr>
        <w:t>；卫生健康支出</w:t>
      </w:r>
      <w:r>
        <w:rPr>
          <w:rFonts w:ascii="仿宋" w:eastAsia="仿宋" w:hAnsi="仿宋"/>
          <w:color w:val="000000" w:themeColor="text1"/>
          <w:sz w:val="32"/>
          <w:szCs w:val="32"/>
        </w:rPr>
        <w:t>217.25</w:t>
      </w:r>
      <w:r>
        <w:rPr>
          <w:rFonts w:ascii="仿宋" w:eastAsia="仿宋" w:hAnsi="仿宋" w:hint="eastAsia"/>
          <w:color w:val="000000" w:themeColor="text1"/>
          <w:sz w:val="32"/>
          <w:szCs w:val="32"/>
        </w:rPr>
        <w:t>万元，占比</w:t>
      </w:r>
      <w:r>
        <w:rPr>
          <w:rFonts w:ascii="仿宋" w:eastAsia="仿宋" w:hAnsi="仿宋"/>
          <w:color w:val="000000" w:themeColor="text1"/>
          <w:sz w:val="32"/>
          <w:szCs w:val="32"/>
        </w:rPr>
        <w:t>2.76%</w:t>
      </w:r>
      <w:r>
        <w:rPr>
          <w:rFonts w:ascii="仿宋" w:eastAsia="仿宋" w:hAnsi="仿宋" w:hint="eastAsia"/>
          <w:color w:val="000000" w:themeColor="text1"/>
          <w:sz w:val="32"/>
          <w:szCs w:val="32"/>
        </w:rPr>
        <w:t>；节能环保支出</w:t>
      </w:r>
      <w:r>
        <w:rPr>
          <w:rFonts w:ascii="仿宋" w:eastAsia="仿宋" w:hAnsi="仿宋"/>
          <w:color w:val="000000" w:themeColor="text1"/>
          <w:sz w:val="32"/>
          <w:szCs w:val="32"/>
        </w:rPr>
        <w:t>1257.68</w:t>
      </w:r>
      <w:r>
        <w:rPr>
          <w:rFonts w:ascii="仿宋" w:eastAsia="仿宋" w:hAnsi="仿宋" w:hint="eastAsia"/>
          <w:color w:val="000000" w:themeColor="text1"/>
          <w:sz w:val="32"/>
          <w:szCs w:val="32"/>
        </w:rPr>
        <w:t>万元，占比</w:t>
      </w:r>
      <w:r>
        <w:rPr>
          <w:rFonts w:ascii="仿宋" w:eastAsia="仿宋" w:hAnsi="仿宋"/>
          <w:color w:val="000000" w:themeColor="text1"/>
          <w:sz w:val="32"/>
          <w:szCs w:val="32"/>
        </w:rPr>
        <w:t>15.96%</w:t>
      </w:r>
      <w:r>
        <w:rPr>
          <w:rFonts w:ascii="仿宋" w:eastAsia="仿宋" w:hAnsi="仿宋" w:hint="eastAsia"/>
          <w:color w:val="000000" w:themeColor="text1"/>
          <w:sz w:val="32"/>
          <w:szCs w:val="32"/>
        </w:rPr>
        <w:t>；城乡社区支出129.96万元，占比1.65</w:t>
      </w:r>
      <w:r>
        <w:rPr>
          <w:rFonts w:ascii="仿宋" w:eastAsia="仿宋" w:hAnsi="仿宋"/>
          <w:color w:val="000000" w:themeColor="text1"/>
          <w:sz w:val="32"/>
          <w:szCs w:val="32"/>
        </w:rPr>
        <w:t>%</w:t>
      </w:r>
      <w:r>
        <w:rPr>
          <w:rFonts w:ascii="仿宋" w:eastAsia="仿宋" w:hAnsi="仿宋" w:hint="eastAsia"/>
          <w:color w:val="000000" w:themeColor="text1"/>
          <w:sz w:val="32"/>
          <w:szCs w:val="32"/>
        </w:rPr>
        <w:t>；农林水支出</w:t>
      </w:r>
      <w:r>
        <w:rPr>
          <w:rFonts w:ascii="仿宋" w:eastAsia="仿宋" w:hAnsi="仿宋"/>
          <w:color w:val="000000" w:themeColor="text1"/>
          <w:sz w:val="32"/>
          <w:szCs w:val="32"/>
        </w:rPr>
        <w:t>895.7</w:t>
      </w:r>
      <w:r>
        <w:rPr>
          <w:rFonts w:ascii="仿宋" w:eastAsia="仿宋" w:hAnsi="仿宋" w:hint="eastAsia"/>
          <w:color w:val="000000" w:themeColor="text1"/>
          <w:sz w:val="32"/>
          <w:szCs w:val="32"/>
        </w:rPr>
        <w:t>万元，占比</w:t>
      </w:r>
      <w:r>
        <w:rPr>
          <w:rFonts w:ascii="仿宋" w:eastAsia="仿宋" w:hAnsi="仿宋"/>
          <w:color w:val="000000" w:themeColor="text1"/>
          <w:sz w:val="32"/>
          <w:szCs w:val="32"/>
        </w:rPr>
        <w:t>11.37%</w:t>
      </w:r>
      <w:r>
        <w:rPr>
          <w:rFonts w:ascii="仿宋" w:eastAsia="仿宋" w:hAnsi="仿宋" w:hint="eastAsia"/>
          <w:color w:val="000000" w:themeColor="text1"/>
          <w:sz w:val="32"/>
          <w:szCs w:val="32"/>
        </w:rPr>
        <w:t>；交通运输支出</w:t>
      </w:r>
      <w:r>
        <w:rPr>
          <w:rFonts w:ascii="仿宋" w:eastAsia="仿宋" w:hAnsi="仿宋"/>
          <w:color w:val="000000" w:themeColor="text1"/>
          <w:sz w:val="32"/>
          <w:szCs w:val="32"/>
        </w:rPr>
        <w:t>7.2</w:t>
      </w:r>
      <w:r>
        <w:rPr>
          <w:rFonts w:ascii="仿宋" w:eastAsia="仿宋" w:hAnsi="仿宋" w:hint="eastAsia"/>
          <w:color w:val="000000" w:themeColor="text1"/>
          <w:sz w:val="32"/>
          <w:szCs w:val="32"/>
        </w:rPr>
        <w:t>万元，占比</w:t>
      </w:r>
      <w:r>
        <w:rPr>
          <w:rFonts w:ascii="仿宋" w:eastAsia="仿宋" w:hAnsi="仿宋"/>
          <w:color w:val="000000" w:themeColor="text1"/>
          <w:sz w:val="32"/>
          <w:szCs w:val="32"/>
        </w:rPr>
        <w:t>0.09%</w:t>
      </w:r>
      <w:r>
        <w:rPr>
          <w:rFonts w:ascii="仿宋" w:eastAsia="仿宋" w:hAnsi="仿宋" w:hint="eastAsia"/>
          <w:color w:val="000000" w:themeColor="text1"/>
          <w:sz w:val="32"/>
          <w:szCs w:val="32"/>
        </w:rPr>
        <w:t>；住房保障支出</w:t>
      </w:r>
      <w:r>
        <w:rPr>
          <w:rFonts w:ascii="仿宋" w:eastAsia="仿宋" w:hAnsi="仿宋"/>
          <w:color w:val="000000" w:themeColor="text1"/>
          <w:sz w:val="32"/>
          <w:szCs w:val="32"/>
        </w:rPr>
        <w:t>235.45</w:t>
      </w:r>
      <w:r>
        <w:rPr>
          <w:rFonts w:ascii="仿宋" w:eastAsia="仿宋" w:hAnsi="仿宋" w:hint="eastAsia"/>
          <w:color w:val="000000" w:themeColor="text1"/>
          <w:sz w:val="32"/>
          <w:szCs w:val="32"/>
        </w:rPr>
        <w:t>万元，占比</w:t>
      </w:r>
      <w:r>
        <w:rPr>
          <w:rFonts w:ascii="仿宋" w:eastAsia="仿宋" w:hAnsi="仿宋"/>
          <w:color w:val="000000" w:themeColor="text1"/>
          <w:sz w:val="32"/>
          <w:szCs w:val="32"/>
        </w:rPr>
        <w:t>2.99%</w:t>
      </w:r>
      <w:r>
        <w:rPr>
          <w:rFonts w:ascii="仿宋" w:eastAsia="仿宋" w:hAnsi="仿宋" w:hint="eastAsia"/>
          <w:color w:val="000000" w:themeColor="text1"/>
          <w:sz w:val="32"/>
          <w:szCs w:val="32"/>
        </w:rPr>
        <w:t>；灾害防治及应急管理支出</w:t>
      </w:r>
      <w:r>
        <w:rPr>
          <w:rFonts w:ascii="仿宋" w:eastAsia="仿宋" w:hAnsi="仿宋"/>
          <w:color w:val="000000" w:themeColor="text1"/>
          <w:sz w:val="32"/>
          <w:szCs w:val="32"/>
        </w:rPr>
        <w:t>58</w:t>
      </w:r>
      <w:r>
        <w:rPr>
          <w:rFonts w:ascii="仿宋" w:eastAsia="仿宋" w:hAnsi="仿宋" w:hint="eastAsia"/>
          <w:color w:val="000000" w:themeColor="text1"/>
          <w:sz w:val="32"/>
          <w:szCs w:val="32"/>
        </w:rPr>
        <w:t>万元，占比</w:t>
      </w:r>
      <w:r>
        <w:rPr>
          <w:rFonts w:ascii="仿宋" w:eastAsia="仿宋" w:hAnsi="仿宋"/>
          <w:color w:val="000000" w:themeColor="text1"/>
          <w:sz w:val="32"/>
          <w:szCs w:val="32"/>
        </w:rPr>
        <w:t>0.74%</w:t>
      </w:r>
      <w:r>
        <w:rPr>
          <w:rFonts w:ascii="仿宋" w:eastAsia="仿宋" w:hAnsi="仿宋" w:hint="eastAsia"/>
          <w:color w:val="000000" w:themeColor="text1"/>
          <w:sz w:val="32"/>
          <w:szCs w:val="32"/>
        </w:rPr>
        <w:t>；其他支出200万元，占比2.54%。</w:t>
      </w:r>
    </w:p>
    <w:p w:rsidR="00FE78BA" w:rsidRDefault="00FE370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（2）、上解支出</w:t>
      </w:r>
      <w:r>
        <w:rPr>
          <w:rFonts w:ascii="仿宋" w:eastAsia="仿宋" w:hAnsi="仿宋"/>
          <w:color w:val="000000" w:themeColor="text1"/>
          <w:sz w:val="32"/>
          <w:szCs w:val="32"/>
        </w:rPr>
        <w:t>1362.6347</w:t>
      </w:r>
      <w:r>
        <w:rPr>
          <w:rFonts w:ascii="仿宋" w:eastAsia="仿宋" w:hAnsi="仿宋" w:hint="eastAsia"/>
          <w:color w:val="000000" w:themeColor="text1"/>
          <w:sz w:val="32"/>
          <w:szCs w:val="32"/>
        </w:rPr>
        <w:t>万元。</w:t>
      </w:r>
    </w:p>
    <w:p w:rsidR="00FE78BA" w:rsidRDefault="00FE370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（三）一般公共预算财政拨款基本支出决算情况说明</w:t>
      </w:r>
    </w:p>
    <w:p w:rsidR="00FE78BA" w:rsidRDefault="00FE370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2019年度一般公共预算财政拨款基本支出4958.42万元。</w:t>
      </w:r>
    </w:p>
    <w:p w:rsidR="00FE78BA" w:rsidRDefault="00FE370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其中：1、人员经费4333.81万元，主要包括：基本工资、津贴补贴、奖金、伙食补助费、绩效工资、机关事业单位基本养老保险缴费、职业年金缴费、其他社会保障缴费、其他工资福利支出、离休费、退休费、抚恤金、生活补助、医疗费、奖励金、住房公积金、其他对个人和家庭的补助支出等。</w:t>
      </w:r>
    </w:p>
    <w:p w:rsidR="00FE78BA" w:rsidRDefault="00FE370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公用经费624.61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其他资本性支出等。</w:t>
      </w:r>
    </w:p>
    <w:p w:rsidR="00FE78BA" w:rsidRDefault="00FE370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（四）、政府性基金预算支出决算情况说明</w:t>
      </w:r>
    </w:p>
    <w:p w:rsidR="00FE78BA" w:rsidRDefault="00FE370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2019年度政府性基金预算拨款支出322.25万元。主要是征地拆迁补偿支出和农村基础设施建设支出。</w:t>
      </w:r>
    </w:p>
    <w:p w:rsidR="00FE78BA" w:rsidRDefault="00FE370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（五）、“三公”经费财政拨款支出决算情况说明</w:t>
      </w:r>
    </w:p>
    <w:p w:rsidR="00FE78BA" w:rsidRDefault="00FE370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1、“三公”经费财政拨款支出决算总体情况说明</w:t>
      </w:r>
    </w:p>
    <w:p w:rsidR="00FE78BA" w:rsidRDefault="00FE370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2019年度“三公”经费财政拨款支出决算为24.45万元，完成预算100%，预算与决算数持平。</w:t>
      </w:r>
    </w:p>
    <w:p w:rsidR="00FE78BA" w:rsidRDefault="00FE370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2、“三公”经费财政拨款支出决算具体情况说明</w:t>
      </w:r>
    </w:p>
    <w:p w:rsidR="00FE78BA" w:rsidRDefault="00FE370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2019年度“三公”经费财政拨款支出决算中，因公出国（境）费支出决算0万元，占0%；公务用车购置及运行维护费支出决算6.56万元，占26.83%；公务接待费支出决算17.89万元，占73.17%。具体情况如下：</w:t>
      </w:r>
    </w:p>
    <w:p w:rsidR="00FE78BA" w:rsidRDefault="00FE370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（1）、因公出国（境）经费支出0万元。全年安排因公出国（境）团组0次，出国（境）0人。</w:t>
      </w:r>
    </w:p>
    <w:p w:rsidR="00FE78BA" w:rsidRDefault="00FE370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公务用车购置及运行维护费支出6.56万元。其中：公务用车购置支出0万元。截至2019年12月底，单位共有公务用车1辆（越野车）。公务用车运行维护费支出6.56万元。主要用于公务等所需的公务用车燃料费、维修费、过路过桥费、保险费等支出。公务用车购置及运行维护费用与上年持平。</w:t>
      </w:r>
    </w:p>
    <w:p w:rsidR="00FE78BA" w:rsidRDefault="00FE370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（3）、公务接待费支出17.89万元。主要用于执行公务、开展业务活动开支的交通费、住宿费、用餐费等。国内公务接待288批次，1870人次（不包括陪同人员），共计支出17.89</w:t>
      </w:r>
      <w:r>
        <w:rPr>
          <w:rFonts w:ascii="仿宋" w:eastAsia="仿宋" w:hAnsi="仿宋" w:hint="eastAsia"/>
          <w:color w:val="000000" w:themeColor="text1"/>
          <w:sz w:val="32"/>
          <w:szCs w:val="32"/>
        </w:rPr>
        <w:lastRenderedPageBreak/>
        <w:t>万元。公务接待费支出决算与上年持平。</w:t>
      </w:r>
    </w:p>
    <w:p w:rsidR="00FE78BA" w:rsidRDefault="00FE370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（六）与预算支出相关的其他指标分析。</w:t>
      </w:r>
    </w:p>
    <w:p w:rsidR="00FE78BA" w:rsidRDefault="00FE370A">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无结转结余情况。</w:t>
      </w:r>
    </w:p>
    <w:p w:rsidR="00FE78BA" w:rsidRDefault="00FE78BA">
      <w:pPr>
        <w:spacing w:line="600" w:lineRule="exact"/>
        <w:outlineLvl w:val="1"/>
        <w:rPr>
          <w:rStyle w:val="2Char"/>
          <w:rFonts w:ascii="黑体" w:eastAsia="黑体" w:hAnsi="黑体"/>
          <w:b w:val="0"/>
        </w:rPr>
      </w:pPr>
    </w:p>
    <w:p w:rsidR="00FE78BA" w:rsidRDefault="00FE78BA">
      <w:pPr>
        <w:spacing w:line="580" w:lineRule="exact"/>
        <w:jc w:val="center"/>
        <w:rPr>
          <w:rFonts w:ascii="方正小标宋简体" w:eastAsia="方正小标宋简体" w:hAnsi="方正小标宋简体" w:cs="方正小标宋简体"/>
          <w:sz w:val="44"/>
          <w:szCs w:val="44"/>
        </w:rPr>
      </w:pPr>
    </w:p>
    <w:p w:rsidR="00FE78BA" w:rsidRDefault="00FE370A">
      <w:pPr>
        <w:spacing w:line="600" w:lineRule="exact"/>
        <w:ind w:firstLineChars="250" w:firstLine="800"/>
        <w:outlineLvl w:val="1"/>
        <w:rPr>
          <w:rStyle w:val="2Char"/>
          <w:rFonts w:ascii="黑体" w:eastAsia="黑体" w:hAnsi="黑体"/>
        </w:rPr>
      </w:pPr>
      <w:bookmarkStart w:id="32" w:name="_Toc15377221"/>
      <w:bookmarkStart w:id="33" w:name="_Toc15396612"/>
      <w:r>
        <w:rPr>
          <w:rFonts w:ascii="黑体" w:eastAsia="黑体" w:hAnsi="黑体" w:hint="eastAsia"/>
          <w:color w:val="000000"/>
          <w:sz w:val="32"/>
          <w:szCs w:val="32"/>
        </w:rPr>
        <w:t>五</w:t>
      </w:r>
      <w:r>
        <w:rPr>
          <w:rStyle w:val="2Char"/>
          <w:rFonts w:ascii="黑体" w:eastAsia="黑体" w:hAnsi="黑体" w:hint="eastAsia"/>
        </w:rPr>
        <w:t>、</w:t>
      </w:r>
      <w:r>
        <w:rPr>
          <w:rStyle w:val="2Char"/>
          <w:rFonts w:ascii="黑体" w:eastAsia="黑体" w:hAnsi="黑体" w:hint="eastAsia"/>
          <w:b w:val="0"/>
        </w:rPr>
        <w:t>其他重要事项的情况说明</w:t>
      </w:r>
      <w:bookmarkEnd w:id="32"/>
      <w:bookmarkEnd w:id="33"/>
    </w:p>
    <w:p w:rsidR="00FE78BA" w:rsidRDefault="00FE370A">
      <w:pPr>
        <w:snapToGrid w:val="0"/>
        <w:spacing w:line="52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（一）机关运行经费支出情况</w:t>
      </w:r>
    </w:p>
    <w:p w:rsidR="00FE78BA" w:rsidRDefault="00FE370A">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2019年度，我镇机关运行经费支出294.27万元。</w:t>
      </w:r>
    </w:p>
    <w:p w:rsidR="00FE78BA" w:rsidRDefault="00FE370A">
      <w:pPr>
        <w:snapToGrid w:val="0"/>
        <w:spacing w:line="52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（二）政府采购支出情况</w:t>
      </w:r>
    </w:p>
    <w:p w:rsidR="00FE78BA" w:rsidRDefault="00FE370A">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2019年度，我镇政府采购支出总额33.72万元，其中：政府采购货物支出32.06万元、政府采购工程支出0万元、政府采购服务支出</w:t>
      </w:r>
      <w:r>
        <w:rPr>
          <w:rFonts w:ascii="仿宋_GB2312" w:eastAsia="仿宋_GB2312" w:hAnsi="仿宋"/>
          <w:sz w:val="32"/>
          <w:szCs w:val="32"/>
        </w:rPr>
        <w:t>1.65</w:t>
      </w:r>
      <w:r>
        <w:rPr>
          <w:rFonts w:ascii="仿宋_GB2312" w:eastAsia="仿宋_GB2312" w:hAnsi="仿宋" w:hint="eastAsia"/>
          <w:sz w:val="32"/>
          <w:szCs w:val="32"/>
        </w:rPr>
        <w:t>万元。</w:t>
      </w:r>
    </w:p>
    <w:p w:rsidR="00FE78BA" w:rsidRDefault="00FE370A">
      <w:pPr>
        <w:snapToGrid w:val="0"/>
        <w:spacing w:line="52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（三）国有资产占有使用情况</w:t>
      </w:r>
    </w:p>
    <w:p w:rsidR="00FE78BA" w:rsidRDefault="00FE370A">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截至2019年12月31日，我镇共有车辆1辆，其中：部级领导干部用车0辆、一般公务用车0辆、其他用车0辆、特种专业技术用车1辆、其他用车0辆；单价50万元以上通用设备0台（套），单价100万元以上专用设备0台（套）。</w:t>
      </w:r>
    </w:p>
    <w:p w:rsidR="00FE78BA" w:rsidRDefault="00FE370A">
      <w:pPr>
        <w:snapToGrid w:val="0"/>
        <w:spacing w:line="52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（四）、国有资本经营预算支出决算情况说明</w:t>
      </w:r>
    </w:p>
    <w:p w:rsidR="00FE78BA" w:rsidRDefault="00FE370A">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2019年度国有资本经营预算拨款支出0万元。</w:t>
      </w:r>
    </w:p>
    <w:p w:rsidR="0061456E" w:rsidRDefault="0061456E" w:rsidP="0061456E">
      <w:pPr>
        <w:snapToGrid w:val="0"/>
        <w:spacing w:line="520" w:lineRule="exact"/>
        <w:ind w:firstLineChars="200" w:firstLine="643"/>
        <w:rPr>
          <w:rFonts w:ascii="楷体_GB2312" w:eastAsia="楷体_GB2312" w:hAnsi="仿宋"/>
          <w:b/>
          <w:sz w:val="32"/>
          <w:szCs w:val="32"/>
        </w:rPr>
      </w:pPr>
      <w:r w:rsidRPr="0061456E">
        <w:rPr>
          <w:rFonts w:ascii="楷体_GB2312" w:eastAsia="楷体_GB2312" w:hAnsi="仿宋" w:hint="eastAsia"/>
          <w:b/>
          <w:sz w:val="32"/>
          <w:szCs w:val="32"/>
        </w:rPr>
        <w:t>（五）</w:t>
      </w:r>
      <w:r w:rsidRPr="0061456E">
        <w:rPr>
          <w:rFonts w:ascii="楷体_GB2312" w:eastAsia="楷体_GB2312" w:hAnsi="仿宋"/>
          <w:b/>
          <w:sz w:val="32"/>
          <w:szCs w:val="32"/>
        </w:rPr>
        <w:t>预算绩效情况说明</w:t>
      </w:r>
    </w:p>
    <w:p w:rsidR="0061456E" w:rsidRPr="0061456E" w:rsidRDefault="0061456E" w:rsidP="0061456E">
      <w:pPr>
        <w:widowControl/>
        <w:spacing w:line="560" w:lineRule="exact"/>
        <w:ind w:firstLineChars="200" w:firstLine="640"/>
        <w:jc w:val="left"/>
        <w:rPr>
          <w:rFonts w:ascii="仿宋" w:eastAsia="仿宋" w:hAnsi="仿宋" w:cs="����"/>
          <w:color w:val="000000"/>
          <w:kern w:val="0"/>
          <w:sz w:val="32"/>
          <w:szCs w:val="32"/>
          <w:lang w:bidi="ar"/>
        </w:rPr>
      </w:pPr>
      <w:r w:rsidRPr="0061456E">
        <w:rPr>
          <w:rFonts w:ascii="仿宋" w:eastAsia="仿宋" w:hAnsi="仿宋" w:cs="����"/>
          <w:color w:val="000000"/>
          <w:kern w:val="0"/>
          <w:sz w:val="32"/>
          <w:szCs w:val="32"/>
          <w:lang w:bidi="ar"/>
        </w:rPr>
        <w:t>根据预算绩效管理要求，本部门（单位）在年初预算编制阶段，组织对</w:t>
      </w:r>
      <w:r>
        <w:rPr>
          <w:rFonts w:ascii="仿宋" w:eastAsia="仿宋" w:hAnsi="仿宋" w:cs="����"/>
          <w:color w:val="000000"/>
          <w:kern w:val="0"/>
          <w:sz w:val="32"/>
          <w:szCs w:val="32"/>
          <w:lang w:bidi="ar"/>
        </w:rPr>
        <w:t>1</w:t>
      </w:r>
      <w:r w:rsidRPr="0061456E">
        <w:rPr>
          <w:rFonts w:ascii="仿宋" w:eastAsia="仿宋" w:hAnsi="仿宋" w:cs="����"/>
          <w:color w:val="000000"/>
          <w:kern w:val="0"/>
          <w:sz w:val="32"/>
          <w:szCs w:val="32"/>
          <w:lang w:bidi="ar"/>
        </w:rPr>
        <w:t>项目开展了预算事前绩效评估，对</w:t>
      </w:r>
      <w:r>
        <w:rPr>
          <w:rFonts w:ascii="仿宋" w:eastAsia="仿宋" w:hAnsi="仿宋" w:cs="����"/>
          <w:color w:val="000000"/>
          <w:kern w:val="0"/>
          <w:sz w:val="32"/>
          <w:szCs w:val="32"/>
          <w:lang w:bidi="ar"/>
        </w:rPr>
        <w:t>1</w:t>
      </w:r>
      <w:r w:rsidRPr="0061456E">
        <w:rPr>
          <w:rFonts w:ascii="仿宋" w:eastAsia="仿宋" w:hAnsi="仿宋" w:cs="����"/>
          <w:color w:val="000000"/>
          <w:kern w:val="0"/>
          <w:sz w:val="32"/>
          <w:szCs w:val="32"/>
          <w:lang w:bidi="ar"/>
        </w:rPr>
        <w:t>个项目编制了绩效目标，预算执行过程中，选取</w:t>
      </w:r>
      <w:r>
        <w:rPr>
          <w:rFonts w:ascii="仿宋" w:eastAsia="仿宋" w:hAnsi="仿宋" w:cs="����"/>
          <w:color w:val="000000"/>
          <w:kern w:val="0"/>
          <w:sz w:val="32"/>
          <w:szCs w:val="32"/>
          <w:lang w:bidi="ar"/>
        </w:rPr>
        <w:t>1</w:t>
      </w:r>
      <w:r w:rsidRPr="0061456E">
        <w:rPr>
          <w:rFonts w:ascii="仿宋" w:eastAsia="仿宋" w:hAnsi="仿宋" w:cs="����"/>
          <w:color w:val="000000"/>
          <w:kern w:val="0"/>
          <w:sz w:val="32"/>
          <w:szCs w:val="32"/>
          <w:lang w:bidi="ar"/>
        </w:rPr>
        <w:t>个项目开展绩效监控，年终执行完毕后，对</w:t>
      </w:r>
      <w:r>
        <w:rPr>
          <w:rFonts w:ascii="仿宋" w:eastAsia="仿宋" w:hAnsi="仿宋" w:cs="����"/>
          <w:color w:val="000000"/>
          <w:kern w:val="0"/>
          <w:sz w:val="32"/>
          <w:szCs w:val="32"/>
          <w:lang w:bidi="ar"/>
        </w:rPr>
        <w:t>1</w:t>
      </w:r>
      <w:r w:rsidRPr="0061456E">
        <w:rPr>
          <w:rFonts w:ascii="仿宋" w:eastAsia="仿宋" w:hAnsi="仿宋" w:cs="����"/>
          <w:color w:val="000000"/>
          <w:kern w:val="0"/>
          <w:sz w:val="32"/>
          <w:szCs w:val="32"/>
          <w:lang w:bidi="ar"/>
        </w:rPr>
        <w:t>个项目开展了绩效目标完成情况梳理填报。</w:t>
      </w:r>
      <w:r w:rsidRPr="0061456E">
        <w:rPr>
          <w:rFonts w:ascii="仿宋" w:eastAsia="仿宋" w:hAnsi="仿宋" w:cs="����"/>
          <w:color w:val="000000"/>
          <w:kern w:val="0"/>
          <w:sz w:val="32"/>
          <w:szCs w:val="32"/>
          <w:lang w:bidi="ar"/>
        </w:rPr>
        <w:br/>
      </w:r>
      <w:r>
        <w:rPr>
          <w:rFonts w:ascii="仿宋" w:eastAsia="仿宋" w:hAnsi="仿宋" w:cs="����" w:hint="eastAsia"/>
          <w:color w:val="000000"/>
          <w:kern w:val="0"/>
          <w:sz w:val="32"/>
          <w:szCs w:val="32"/>
          <w:lang w:bidi="ar"/>
        </w:rPr>
        <w:lastRenderedPageBreak/>
        <w:t xml:space="preserve">    </w:t>
      </w:r>
      <w:r w:rsidRPr="0061456E">
        <w:rPr>
          <w:rFonts w:ascii="仿宋" w:eastAsia="仿宋" w:hAnsi="仿宋" w:cs="����"/>
          <w:color w:val="000000"/>
          <w:kern w:val="0"/>
          <w:sz w:val="32"/>
          <w:szCs w:val="32"/>
          <w:lang w:bidi="ar"/>
        </w:rPr>
        <w:t>本部门按要求对201</w:t>
      </w:r>
      <w:r w:rsidR="00281FFA">
        <w:rPr>
          <w:rFonts w:ascii="仿宋" w:eastAsia="仿宋" w:hAnsi="仿宋" w:cs="����"/>
          <w:color w:val="000000"/>
          <w:kern w:val="0"/>
          <w:sz w:val="32"/>
          <w:szCs w:val="32"/>
          <w:lang w:bidi="ar"/>
        </w:rPr>
        <w:t>9</w:t>
      </w:r>
      <w:r w:rsidRPr="0061456E">
        <w:rPr>
          <w:rFonts w:ascii="仿宋" w:eastAsia="仿宋" w:hAnsi="仿宋" w:cs="����"/>
          <w:color w:val="000000"/>
          <w:kern w:val="0"/>
          <w:sz w:val="32"/>
          <w:szCs w:val="32"/>
          <w:lang w:bidi="ar"/>
        </w:rPr>
        <w:t>年部门整体支出开展绩效自评，从评价情</w:t>
      </w:r>
      <w:r>
        <w:rPr>
          <w:rFonts w:ascii="仿宋" w:eastAsia="仿宋" w:hAnsi="仿宋" w:cs="����"/>
          <w:color w:val="000000"/>
          <w:kern w:val="0"/>
          <w:sz w:val="32"/>
          <w:szCs w:val="32"/>
          <w:lang w:bidi="ar"/>
        </w:rPr>
        <w:t>况来看整体绩效情况我单位人员经费和公用经费严格按照年初预算执行</w:t>
      </w:r>
      <w:r>
        <w:rPr>
          <w:rFonts w:ascii="仿宋" w:eastAsia="仿宋" w:hAnsi="仿宋" w:cs="����" w:hint="eastAsia"/>
          <w:color w:val="000000"/>
          <w:kern w:val="0"/>
          <w:sz w:val="32"/>
          <w:szCs w:val="32"/>
          <w:lang w:bidi="ar"/>
        </w:rPr>
        <w:t>。</w:t>
      </w:r>
      <w:r w:rsidRPr="0061456E">
        <w:rPr>
          <w:rFonts w:ascii="仿宋" w:eastAsia="仿宋" w:hAnsi="仿宋" w:cs="����"/>
          <w:color w:val="000000"/>
          <w:kern w:val="0"/>
          <w:sz w:val="32"/>
          <w:szCs w:val="32"/>
          <w:lang w:bidi="ar"/>
        </w:rPr>
        <w:br/>
      </w:r>
      <w:r>
        <w:rPr>
          <w:rFonts w:ascii="仿宋" w:eastAsia="仿宋" w:hAnsi="仿宋" w:cs="����"/>
          <w:color w:val="000000"/>
          <w:kern w:val="0"/>
          <w:sz w:val="32"/>
          <w:szCs w:val="32"/>
          <w:lang w:bidi="ar"/>
        </w:rPr>
        <w:t xml:space="preserve">    </w:t>
      </w:r>
      <w:r w:rsidRPr="0061456E">
        <w:rPr>
          <w:rFonts w:ascii="仿宋" w:eastAsia="仿宋" w:hAnsi="仿宋" w:cs="����"/>
          <w:color w:val="000000"/>
          <w:kern w:val="0"/>
          <w:sz w:val="32"/>
          <w:szCs w:val="32"/>
          <w:lang w:bidi="ar"/>
        </w:rPr>
        <w:t>教育支出建设项目绩效目</w:t>
      </w:r>
      <w:bookmarkStart w:id="34" w:name="_GoBack"/>
      <w:bookmarkEnd w:id="34"/>
      <w:r w:rsidRPr="0061456E">
        <w:rPr>
          <w:rFonts w:ascii="仿宋" w:eastAsia="仿宋" w:hAnsi="仿宋" w:cs="����"/>
          <w:color w:val="000000"/>
          <w:kern w:val="0"/>
          <w:sz w:val="32"/>
          <w:szCs w:val="32"/>
          <w:lang w:bidi="ar"/>
        </w:rPr>
        <w:t>标完成情况综述。项目全年预算数</w:t>
      </w:r>
      <w:r>
        <w:rPr>
          <w:rFonts w:ascii="仿宋" w:eastAsia="仿宋" w:hAnsi="仿宋" w:cs="����"/>
          <w:color w:val="000000"/>
          <w:kern w:val="0"/>
          <w:sz w:val="32"/>
          <w:szCs w:val="32"/>
          <w:lang w:bidi="ar"/>
        </w:rPr>
        <w:t>296.83</w:t>
      </w:r>
      <w:r w:rsidRPr="0061456E">
        <w:rPr>
          <w:rFonts w:ascii="仿宋" w:eastAsia="仿宋" w:hAnsi="仿宋" w:cs="����"/>
          <w:color w:val="000000"/>
          <w:kern w:val="0"/>
          <w:sz w:val="32"/>
          <w:szCs w:val="32"/>
          <w:lang w:bidi="ar"/>
        </w:rPr>
        <w:t>万元，执行数为</w:t>
      </w:r>
      <w:r>
        <w:rPr>
          <w:rFonts w:ascii="仿宋" w:eastAsia="仿宋" w:hAnsi="仿宋" w:cs="����"/>
          <w:color w:val="000000"/>
          <w:kern w:val="0"/>
          <w:sz w:val="32"/>
          <w:szCs w:val="32"/>
          <w:lang w:bidi="ar"/>
        </w:rPr>
        <w:t>296.83</w:t>
      </w:r>
      <w:r w:rsidRPr="0061456E">
        <w:rPr>
          <w:rFonts w:ascii="仿宋" w:eastAsia="仿宋" w:hAnsi="仿宋" w:cs="����"/>
          <w:color w:val="000000"/>
          <w:kern w:val="0"/>
          <w:sz w:val="32"/>
          <w:szCs w:val="32"/>
          <w:lang w:bidi="ar"/>
        </w:rPr>
        <w:t>万元，完成预算的100%。通过项目实施，保障了教育发展，加大了教育投入，改善了教育环境，发现的主要问题：项目开展较慢。下一步改进措施：按照合同规定，按期开展项目工程，保障教育环境改善；</w:t>
      </w:r>
      <w:r w:rsidRPr="0061456E">
        <w:rPr>
          <w:rFonts w:ascii="仿宋" w:eastAsia="仿宋" w:hAnsi="仿宋" w:cs="����"/>
          <w:color w:val="000000"/>
          <w:kern w:val="0"/>
          <w:sz w:val="32"/>
          <w:szCs w:val="32"/>
          <w:lang w:bidi="ar"/>
        </w:rPr>
        <w:br/>
      </w:r>
    </w:p>
    <w:tbl>
      <w:tblPr>
        <w:tblpPr w:vertAnchor="text"/>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387"/>
        <w:gridCol w:w="1100"/>
        <w:gridCol w:w="837"/>
        <w:gridCol w:w="2004"/>
        <w:gridCol w:w="2002"/>
        <w:gridCol w:w="1992"/>
      </w:tblGrid>
      <w:tr w:rsidR="0061456E" w:rsidRPr="0061456E" w:rsidTr="0061456E">
        <w:tc>
          <w:tcPr>
            <w:tcW w:w="5000" w:type="pct"/>
            <w:gridSpan w:val="6"/>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项目支出绩效目标完成情况表(2019 年度)</w:t>
            </w:r>
          </w:p>
        </w:tc>
      </w:tr>
      <w:tr w:rsidR="0061456E" w:rsidRPr="0061456E" w:rsidTr="0061456E">
        <w:trPr>
          <w:trHeight w:val="458"/>
        </w:trPr>
        <w:tc>
          <w:tcPr>
            <w:tcW w:w="1396" w:type="pct"/>
            <w:gridSpan w:val="3"/>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项目名称</w:t>
            </w:r>
          </w:p>
        </w:tc>
        <w:tc>
          <w:tcPr>
            <w:tcW w:w="3604" w:type="pct"/>
            <w:gridSpan w:val="3"/>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教育基础设施建设支出</w:t>
            </w:r>
          </w:p>
        </w:tc>
      </w:tr>
      <w:tr w:rsidR="0061456E" w:rsidRPr="0061456E" w:rsidTr="0061456E">
        <w:tc>
          <w:tcPr>
            <w:tcW w:w="1396" w:type="pct"/>
            <w:gridSpan w:val="3"/>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预算单位</w:t>
            </w:r>
          </w:p>
        </w:tc>
        <w:tc>
          <w:tcPr>
            <w:tcW w:w="3604" w:type="pct"/>
            <w:gridSpan w:val="3"/>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泸县福集镇人民政府</w:t>
            </w:r>
          </w:p>
        </w:tc>
      </w:tr>
      <w:tr w:rsidR="0061456E" w:rsidRPr="0061456E" w:rsidTr="0061456E">
        <w:tc>
          <w:tcPr>
            <w:tcW w:w="232" w:type="pct"/>
            <w:vMerge w:val="restar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预算执行情况(万元)</w:t>
            </w:r>
          </w:p>
        </w:tc>
        <w:tc>
          <w:tcPr>
            <w:tcW w:w="1164" w:type="pct"/>
            <w:gridSpan w:val="2"/>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预算数:</w:t>
            </w:r>
          </w:p>
        </w:tc>
        <w:tc>
          <w:tcPr>
            <w:tcW w:w="1203" w:type="pc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296.83</w:t>
            </w:r>
          </w:p>
        </w:tc>
        <w:tc>
          <w:tcPr>
            <w:tcW w:w="1203" w:type="pc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执行数:</w:t>
            </w:r>
          </w:p>
        </w:tc>
        <w:tc>
          <w:tcPr>
            <w:tcW w:w="1197" w:type="pc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296.83</w:t>
            </w:r>
          </w:p>
        </w:tc>
      </w:tr>
      <w:tr w:rsidR="0061456E" w:rsidRPr="0061456E" w:rsidTr="0061456E">
        <w:tc>
          <w:tcPr>
            <w:tcW w:w="232" w:type="pct"/>
            <w:vMerge/>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spacing w:line="460" w:lineRule="exact"/>
              <w:rPr>
                <w:rFonts w:ascii="仿宋" w:eastAsia="仿宋" w:hAnsi="仿宋" w:cs="����"/>
                <w:color w:val="000000"/>
                <w:sz w:val="24"/>
                <w:szCs w:val="32"/>
              </w:rPr>
            </w:pPr>
          </w:p>
        </w:tc>
        <w:tc>
          <w:tcPr>
            <w:tcW w:w="1164" w:type="pct"/>
            <w:gridSpan w:val="2"/>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其中-财政拨款:</w:t>
            </w:r>
          </w:p>
        </w:tc>
        <w:tc>
          <w:tcPr>
            <w:tcW w:w="1203" w:type="pc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296.83</w:t>
            </w:r>
          </w:p>
        </w:tc>
        <w:tc>
          <w:tcPr>
            <w:tcW w:w="1203" w:type="pc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其中-财政拨款:</w:t>
            </w:r>
          </w:p>
        </w:tc>
        <w:tc>
          <w:tcPr>
            <w:tcW w:w="1197" w:type="pc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296.83</w:t>
            </w:r>
          </w:p>
        </w:tc>
      </w:tr>
      <w:tr w:rsidR="0061456E" w:rsidRPr="0061456E" w:rsidTr="0061456E">
        <w:tc>
          <w:tcPr>
            <w:tcW w:w="232" w:type="pct"/>
            <w:vMerge/>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spacing w:line="460" w:lineRule="exact"/>
              <w:rPr>
                <w:rFonts w:ascii="仿宋" w:eastAsia="仿宋" w:hAnsi="仿宋" w:cs="����"/>
                <w:color w:val="000000"/>
                <w:sz w:val="24"/>
                <w:szCs w:val="32"/>
              </w:rPr>
            </w:pPr>
          </w:p>
        </w:tc>
        <w:tc>
          <w:tcPr>
            <w:tcW w:w="1164" w:type="pct"/>
            <w:gridSpan w:val="2"/>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其它资金:</w:t>
            </w:r>
          </w:p>
        </w:tc>
        <w:tc>
          <w:tcPr>
            <w:tcW w:w="1203" w:type="pc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0</w:t>
            </w:r>
          </w:p>
        </w:tc>
        <w:tc>
          <w:tcPr>
            <w:tcW w:w="1203" w:type="pc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其它资金:</w:t>
            </w:r>
          </w:p>
        </w:tc>
        <w:tc>
          <w:tcPr>
            <w:tcW w:w="1197" w:type="pc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0</w:t>
            </w:r>
          </w:p>
        </w:tc>
      </w:tr>
      <w:tr w:rsidR="0061456E" w:rsidRPr="0061456E" w:rsidTr="0061456E">
        <w:tc>
          <w:tcPr>
            <w:tcW w:w="232" w:type="pct"/>
            <w:vMerge w:val="restar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年度目标完成</w:t>
            </w:r>
            <w:r w:rsidRPr="0061456E">
              <w:rPr>
                <w:rFonts w:ascii="仿宋" w:eastAsia="仿宋" w:hAnsi="仿宋" w:cs="����"/>
                <w:color w:val="000000"/>
                <w:kern w:val="0"/>
                <w:sz w:val="24"/>
                <w:szCs w:val="32"/>
                <w:lang w:bidi="ar"/>
              </w:rPr>
              <w:lastRenderedPageBreak/>
              <w:t>情况</w:t>
            </w:r>
          </w:p>
        </w:tc>
        <w:tc>
          <w:tcPr>
            <w:tcW w:w="2368" w:type="pct"/>
            <w:gridSpan w:val="3"/>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lastRenderedPageBreak/>
              <w:t>预期目标</w:t>
            </w:r>
          </w:p>
        </w:tc>
        <w:tc>
          <w:tcPr>
            <w:tcW w:w="2400" w:type="pct"/>
            <w:gridSpan w:val="2"/>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实际完成目标</w:t>
            </w:r>
          </w:p>
        </w:tc>
      </w:tr>
      <w:tr w:rsidR="0061456E" w:rsidRPr="0061456E" w:rsidTr="0061456E">
        <w:tc>
          <w:tcPr>
            <w:tcW w:w="232" w:type="pct"/>
            <w:vMerge/>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spacing w:line="460" w:lineRule="exact"/>
              <w:rPr>
                <w:rFonts w:ascii="仿宋" w:eastAsia="仿宋" w:hAnsi="仿宋" w:cs="����"/>
                <w:color w:val="000000"/>
                <w:sz w:val="24"/>
                <w:szCs w:val="32"/>
              </w:rPr>
            </w:pPr>
          </w:p>
        </w:tc>
        <w:tc>
          <w:tcPr>
            <w:tcW w:w="2368" w:type="pct"/>
            <w:gridSpan w:val="3"/>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及时完成基础设施建设</w:t>
            </w:r>
          </w:p>
        </w:tc>
        <w:tc>
          <w:tcPr>
            <w:tcW w:w="2400" w:type="pct"/>
            <w:gridSpan w:val="2"/>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完成基础设施建设</w:t>
            </w:r>
          </w:p>
        </w:tc>
      </w:tr>
      <w:tr w:rsidR="0061456E" w:rsidRPr="0061456E" w:rsidTr="0061456E">
        <w:tc>
          <w:tcPr>
            <w:tcW w:w="232" w:type="pct"/>
            <w:vMerge w:val="restar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绩效指标完成情况</w:t>
            </w:r>
          </w:p>
        </w:tc>
        <w:tc>
          <w:tcPr>
            <w:tcW w:w="661" w:type="pc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一级指标</w:t>
            </w:r>
          </w:p>
        </w:tc>
        <w:tc>
          <w:tcPr>
            <w:tcW w:w="503" w:type="pc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二级指标</w:t>
            </w:r>
          </w:p>
        </w:tc>
        <w:tc>
          <w:tcPr>
            <w:tcW w:w="1203" w:type="pc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三级指标</w:t>
            </w:r>
          </w:p>
        </w:tc>
        <w:tc>
          <w:tcPr>
            <w:tcW w:w="1203" w:type="pc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预期指标值(包含数字及文字描述)</w:t>
            </w:r>
          </w:p>
        </w:tc>
        <w:tc>
          <w:tcPr>
            <w:tcW w:w="1197" w:type="pc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实际完成指标值(包含数字及文字描述)</w:t>
            </w:r>
          </w:p>
        </w:tc>
      </w:tr>
      <w:tr w:rsidR="0061456E" w:rsidRPr="0061456E" w:rsidTr="0061456E">
        <w:tc>
          <w:tcPr>
            <w:tcW w:w="232" w:type="pct"/>
            <w:vMerge/>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spacing w:line="460" w:lineRule="exact"/>
              <w:rPr>
                <w:rFonts w:ascii="仿宋" w:eastAsia="仿宋" w:hAnsi="仿宋" w:cs="����"/>
                <w:color w:val="000000"/>
                <w:sz w:val="24"/>
                <w:szCs w:val="32"/>
              </w:rPr>
            </w:pPr>
          </w:p>
        </w:tc>
        <w:tc>
          <w:tcPr>
            <w:tcW w:w="661" w:type="pc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项目完成指标</w:t>
            </w:r>
          </w:p>
        </w:tc>
        <w:tc>
          <w:tcPr>
            <w:tcW w:w="503" w:type="pc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line="460" w:lineRule="exact"/>
              <w:jc w:val="left"/>
              <w:rPr>
                <w:rFonts w:ascii="仿宋" w:eastAsia="仿宋" w:hAnsi="仿宋" w:cs="����"/>
                <w:color w:val="000000"/>
                <w:sz w:val="24"/>
                <w:szCs w:val="32"/>
              </w:rPr>
            </w:pPr>
            <w:r w:rsidRPr="0061456E">
              <w:rPr>
                <w:rFonts w:ascii="Calibri" w:eastAsia="仿宋" w:hAnsi="Calibri" w:cs="Calibri"/>
                <w:color w:val="000000"/>
                <w:kern w:val="0"/>
                <w:sz w:val="24"/>
                <w:szCs w:val="32"/>
                <w:lang w:bidi="ar"/>
              </w:rPr>
              <w:t> </w:t>
            </w:r>
          </w:p>
        </w:tc>
        <w:tc>
          <w:tcPr>
            <w:tcW w:w="1203" w:type="pc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line="460" w:lineRule="exact"/>
              <w:jc w:val="left"/>
              <w:rPr>
                <w:rFonts w:ascii="仿宋" w:eastAsia="仿宋" w:hAnsi="仿宋" w:cs="����"/>
                <w:color w:val="000000"/>
                <w:sz w:val="24"/>
                <w:szCs w:val="32"/>
              </w:rPr>
            </w:pPr>
            <w:r w:rsidRPr="0061456E">
              <w:rPr>
                <w:rFonts w:ascii="Calibri" w:eastAsia="仿宋" w:hAnsi="Calibri" w:cs="Calibri"/>
                <w:color w:val="000000"/>
                <w:kern w:val="0"/>
                <w:sz w:val="24"/>
                <w:szCs w:val="32"/>
                <w:lang w:bidi="ar"/>
              </w:rPr>
              <w:t> </w:t>
            </w:r>
          </w:p>
        </w:tc>
        <w:tc>
          <w:tcPr>
            <w:tcW w:w="1203" w:type="pc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预算数296.83万元</w:t>
            </w:r>
          </w:p>
        </w:tc>
        <w:tc>
          <w:tcPr>
            <w:tcW w:w="1197" w:type="pc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执行数296.83万元</w:t>
            </w:r>
          </w:p>
        </w:tc>
      </w:tr>
      <w:tr w:rsidR="0061456E" w:rsidRPr="0061456E" w:rsidTr="0061456E">
        <w:tc>
          <w:tcPr>
            <w:tcW w:w="232" w:type="pct"/>
            <w:vMerge/>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spacing w:line="460" w:lineRule="exact"/>
              <w:rPr>
                <w:rFonts w:ascii="仿宋" w:eastAsia="仿宋" w:hAnsi="仿宋" w:cs="����"/>
                <w:color w:val="000000"/>
                <w:sz w:val="24"/>
                <w:szCs w:val="32"/>
              </w:rPr>
            </w:pPr>
          </w:p>
        </w:tc>
        <w:tc>
          <w:tcPr>
            <w:tcW w:w="661" w:type="pc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效益指标</w:t>
            </w:r>
          </w:p>
        </w:tc>
        <w:tc>
          <w:tcPr>
            <w:tcW w:w="503" w:type="pc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line="460" w:lineRule="exact"/>
              <w:jc w:val="left"/>
              <w:rPr>
                <w:rFonts w:ascii="仿宋" w:eastAsia="仿宋" w:hAnsi="仿宋" w:cs="����"/>
                <w:color w:val="000000"/>
                <w:sz w:val="24"/>
                <w:szCs w:val="32"/>
              </w:rPr>
            </w:pPr>
            <w:r w:rsidRPr="0061456E">
              <w:rPr>
                <w:rFonts w:ascii="Calibri" w:eastAsia="仿宋" w:hAnsi="Calibri" w:cs="Calibri"/>
                <w:color w:val="000000"/>
                <w:kern w:val="0"/>
                <w:sz w:val="24"/>
                <w:szCs w:val="32"/>
                <w:lang w:bidi="ar"/>
              </w:rPr>
              <w:t> </w:t>
            </w:r>
          </w:p>
        </w:tc>
        <w:tc>
          <w:tcPr>
            <w:tcW w:w="1203" w:type="pc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line="460" w:lineRule="exact"/>
              <w:jc w:val="left"/>
              <w:rPr>
                <w:rFonts w:ascii="仿宋" w:eastAsia="仿宋" w:hAnsi="仿宋" w:cs="����"/>
                <w:color w:val="000000"/>
                <w:sz w:val="24"/>
                <w:szCs w:val="32"/>
              </w:rPr>
            </w:pPr>
            <w:r w:rsidRPr="0061456E">
              <w:rPr>
                <w:rFonts w:ascii="Calibri" w:eastAsia="仿宋" w:hAnsi="Calibri" w:cs="Calibri"/>
                <w:color w:val="000000"/>
                <w:kern w:val="0"/>
                <w:sz w:val="24"/>
                <w:szCs w:val="32"/>
                <w:lang w:bidi="ar"/>
              </w:rPr>
              <w:t> </w:t>
            </w:r>
          </w:p>
        </w:tc>
        <w:tc>
          <w:tcPr>
            <w:tcW w:w="1203" w:type="pc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line="460" w:lineRule="exact"/>
              <w:jc w:val="left"/>
              <w:rPr>
                <w:rFonts w:ascii="仿宋" w:eastAsia="仿宋" w:hAnsi="仿宋" w:cs="����"/>
                <w:color w:val="000000"/>
                <w:sz w:val="24"/>
                <w:szCs w:val="32"/>
              </w:rPr>
            </w:pPr>
            <w:r w:rsidRPr="0061456E">
              <w:rPr>
                <w:rFonts w:ascii="Calibri" w:eastAsia="仿宋" w:hAnsi="Calibri" w:cs="Calibri"/>
                <w:color w:val="000000"/>
                <w:kern w:val="0"/>
                <w:sz w:val="24"/>
                <w:szCs w:val="32"/>
                <w:lang w:bidi="ar"/>
              </w:rPr>
              <w:t> </w:t>
            </w:r>
          </w:p>
        </w:tc>
        <w:tc>
          <w:tcPr>
            <w:tcW w:w="1197" w:type="pc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line="460" w:lineRule="exact"/>
              <w:jc w:val="left"/>
              <w:rPr>
                <w:rFonts w:ascii="仿宋" w:eastAsia="仿宋" w:hAnsi="仿宋" w:cs="����"/>
                <w:color w:val="000000"/>
                <w:sz w:val="24"/>
                <w:szCs w:val="32"/>
              </w:rPr>
            </w:pPr>
            <w:r w:rsidRPr="0061456E">
              <w:rPr>
                <w:rFonts w:ascii="Calibri" w:eastAsia="仿宋" w:hAnsi="Calibri" w:cs="Calibri"/>
                <w:color w:val="000000"/>
                <w:kern w:val="0"/>
                <w:sz w:val="24"/>
                <w:szCs w:val="32"/>
                <w:lang w:bidi="ar"/>
              </w:rPr>
              <w:t> </w:t>
            </w:r>
          </w:p>
        </w:tc>
      </w:tr>
      <w:tr w:rsidR="0061456E" w:rsidRPr="0061456E" w:rsidTr="0061456E">
        <w:tc>
          <w:tcPr>
            <w:tcW w:w="232" w:type="pct"/>
            <w:vMerge/>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spacing w:line="460" w:lineRule="exact"/>
              <w:rPr>
                <w:rFonts w:ascii="仿宋" w:eastAsia="仿宋" w:hAnsi="仿宋" w:cs="����"/>
                <w:color w:val="000000"/>
                <w:sz w:val="24"/>
                <w:szCs w:val="32"/>
              </w:rPr>
            </w:pPr>
          </w:p>
        </w:tc>
        <w:tc>
          <w:tcPr>
            <w:tcW w:w="661" w:type="pc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满意度指标</w:t>
            </w:r>
          </w:p>
        </w:tc>
        <w:tc>
          <w:tcPr>
            <w:tcW w:w="503" w:type="pc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line="460" w:lineRule="exact"/>
              <w:jc w:val="left"/>
              <w:rPr>
                <w:rFonts w:ascii="仿宋" w:eastAsia="仿宋" w:hAnsi="仿宋" w:cs="����"/>
                <w:color w:val="000000"/>
                <w:sz w:val="24"/>
                <w:szCs w:val="32"/>
              </w:rPr>
            </w:pPr>
            <w:r w:rsidRPr="0061456E">
              <w:rPr>
                <w:rFonts w:ascii="Calibri" w:eastAsia="仿宋" w:hAnsi="Calibri" w:cs="Calibri"/>
                <w:color w:val="000000"/>
                <w:kern w:val="0"/>
                <w:sz w:val="24"/>
                <w:szCs w:val="32"/>
                <w:lang w:bidi="ar"/>
              </w:rPr>
              <w:t> </w:t>
            </w:r>
          </w:p>
        </w:tc>
        <w:tc>
          <w:tcPr>
            <w:tcW w:w="1203" w:type="pc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line="460" w:lineRule="exact"/>
              <w:jc w:val="left"/>
              <w:rPr>
                <w:rFonts w:ascii="仿宋" w:eastAsia="仿宋" w:hAnsi="仿宋" w:cs="����"/>
                <w:color w:val="000000"/>
                <w:sz w:val="24"/>
                <w:szCs w:val="32"/>
              </w:rPr>
            </w:pPr>
            <w:r w:rsidRPr="0061456E">
              <w:rPr>
                <w:rFonts w:ascii="Calibri" w:eastAsia="仿宋" w:hAnsi="Calibri" w:cs="Calibri"/>
                <w:color w:val="000000"/>
                <w:kern w:val="0"/>
                <w:sz w:val="24"/>
                <w:szCs w:val="32"/>
                <w:lang w:bidi="ar"/>
              </w:rPr>
              <w:t> </w:t>
            </w:r>
          </w:p>
        </w:tc>
        <w:tc>
          <w:tcPr>
            <w:tcW w:w="1203" w:type="pc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99%</w:t>
            </w:r>
          </w:p>
        </w:tc>
        <w:tc>
          <w:tcPr>
            <w:tcW w:w="1197" w:type="pct"/>
            <w:tcBorders>
              <w:top w:val="single" w:sz="6" w:space="0" w:color="000000"/>
              <w:left w:val="single" w:sz="6" w:space="0" w:color="000000"/>
              <w:bottom w:val="single" w:sz="6" w:space="0" w:color="000000"/>
              <w:right w:val="single" w:sz="6" w:space="0" w:color="000000"/>
            </w:tcBorders>
            <w:vAlign w:val="center"/>
          </w:tcPr>
          <w:p w:rsidR="0061456E" w:rsidRPr="0061456E" w:rsidRDefault="0061456E" w:rsidP="0061456E">
            <w:pPr>
              <w:widowControl/>
              <w:spacing w:after="180" w:line="460" w:lineRule="exact"/>
              <w:jc w:val="left"/>
              <w:rPr>
                <w:rFonts w:ascii="仿宋" w:eastAsia="仿宋" w:hAnsi="仿宋" w:cs="����"/>
                <w:color w:val="000000"/>
                <w:sz w:val="24"/>
                <w:szCs w:val="32"/>
              </w:rPr>
            </w:pPr>
            <w:r w:rsidRPr="0061456E">
              <w:rPr>
                <w:rFonts w:ascii="仿宋" w:eastAsia="仿宋" w:hAnsi="仿宋" w:cs="����"/>
                <w:color w:val="000000"/>
                <w:kern w:val="0"/>
                <w:sz w:val="24"/>
                <w:szCs w:val="32"/>
                <w:lang w:bidi="ar"/>
              </w:rPr>
              <w:t>99%</w:t>
            </w:r>
          </w:p>
        </w:tc>
      </w:tr>
    </w:tbl>
    <w:p w:rsidR="0061456E" w:rsidRPr="0061456E" w:rsidRDefault="0061456E" w:rsidP="0061456E">
      <w:pPr>
        <w:snapToGrid w:val="0"/>
        <w:spacing w:line="520" w:lineRule="exact"/>
        <w:ind w:firstLineChars="200" w:firstLine="643"/>
        <w:rPr>
          <w:rFonts w:ascii="楷体_GB2312" w:eastAsia="楷体_GB2312" w:hAnsi="仿宋"/>
          <w:b/>
          <w:sz w:val="32"/>
          <w:szCs w:val="32"/>
        </w:rPr>
      </w:pPr>
    </w:p>
    <w:p w:rsidR="00FE78BA" w:rsidRDefault="00FE78BA">
      <w:pPr>
        <w:snapToGrid w:val="0"/>
        <w:spacing w:line="520" w:lineRule="exact"/>
        <w:ind w:firstLineChars="200" w:firstLine="640"/>
        <w:rPr>
          <w:rFonts w:ascii="仿宋_GB2312" w:eastAsia="仿宋_GB2312" w:hAnsi="仿宋"/>
          <w:sz w:val="32"/>
          <w:szCs w:val="32"/>
        </w:rPr>
      </w:pPr>
    </w:p>
    <w:p w:rsidR="00FE78BA" w:rsidRDefault="00FE78BA">
      <w:pPr>
        <w:snapToGrid w:val="0"/>
        <w:spacing w:line="520" w:lineRule="exact"/>
        <w:ind w:firstLineChars="200" w:firstLine="640"/>
        <w:rPr>
          <w:rFonts w:ascii="仿宋_GB2312" w:eastAsia="仿宋_GB2312" w:hAnsi="仿宋"/>
          <w:sz w:val="32"/>
          <w:szCs w:val="32"/>
        </w:rPr>
      </w:pPr>
    </w:p>
    <w:p w:rsidR="00FE78BA" w:rsidRDefault="00FE370A">
      <w:pPr>
        <w:numPr>
          <w:ilvl w:val="0"/>
          <w:numId w:val="2"/>
        </w:numPr>
        <w:spacing w:line="600" w:lineRule="exact"/>
        <w:ind w:firstLineChars="150" w:firstLine="660"/>
        <w:jc w:val="center"/>
        <w:outlineLvl w:val="0"/>
        <w:rPr>
          <w:rStyle w:val="1Char"/>
          <w:rFonts w:ascii="黑体" w:eastAsia="黑体" w:hAnsi="黑体"/>
          <w:b w:val="0"/>
        </w:rPr>
      </w:pPr>
      <w:bookmarkStart w:id="35" w:name="_Toc15396613"/>
      <w:bookmarkStart w:id="36" w:name="_Toc15377225"/>
      <w:r>
        <w:rPr>
          <w:rFonts w:ascii="黑体" w:eastAsia="黑体" w:hAnsi="黑体" w:hint="eastAsia"/>
          <w:color w:val="000000"/>
          <w:sz w:val="44"/>
          <w:szCs w:val="44"/>
        </w:rPr>
        <w:t>名</w:t>
      </w:r>
      <w:r>
        <w:rPr>
          <w:rStyle w:val="1Char"/>
          <w:rFonts w:ascii="黑体" w:eastAsia="黑体" w:hAnsi="黑体" w:hint="eastAsia"/>
          <w:b w:val="0"/>
        </w:rPr>
        <w:t>词解释</w:t>
      </w:r>
      <w:bookmarkEnd w:id="35"/>
      <w:bookmarkEnd w:id="36"/>
    </w:p>
    <w:p w:rsidR="00FE78BA" w:rsidRDefault="00FE78BA">
      <w:pPr>
        <w:spacing w:line="600" w:lineRule="exact"/>
        <w:jc w:val="left"/>
        <w:rPr>
          <w:rFonts w:ascii="宋体"/>
          <w:b/>
          <w:color w:val="000000"/>
          <w:sz w:val="44"/>
          <w:szCs w:val="44"/>
        </w:rPr>
      </w:pPr>
    </w:p>
    <w:p w:rsidR="00FE78BA" w:rsidRDefault="00FE370A">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FE78BA" w:rsidRDefault="00FE370A">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FE78BA" w:rsidRDefault="00FE370A">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FE78BA" w:rsidRDefault="00FE370A">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FE78BA" w:rsidRDefault="00FE370A">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w:t>
      </w:r>
      <w:r>
        <w:rPr>
          <w:rFonts w:ascii="仿宋_GB2312" w:eastAsia="仿宋_GB2312" w:hint="eastAsia"/>
          <w:sz w:val="32"/>
          <w:szCs w:val="32"/>
        </w:rPr>
        <w:lastRenderedPageBreak/>
        <w:t>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FE78BA" w:rsidRDefault="00FE370A">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FE78BA" w:rsidRDefault="00FE370A">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FE78BA" w:rsidRDefault="00FE370A">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FE78BA" w:rsidRDefault="00FE370A">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9年政府收支分类科目》增减内容。）</w:t>
      </w:r>
    </w:p>
    <w:p w:rsidR="00FE78BA" w:rsidRDefault="00FE370A">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rsidR="00FE78BA" w:rsidRDefault="00FE370A">
      <w:pPr>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FE78BA" w:rsidRDefault="00FE370A">
      <w:pPr>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rsidR="00FE78BA" w:rsidRDefault="00FE370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12</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w:t>
      </w:r>
      <w:r>
        <w:rPr>
          <w:rFonts w:ascii="仿宋_GB2312" w:eastAsia="仿宋_GB2312" w:hint="eastAsia"/>
          <w:sz w:val="32"/>
          <w:szCs w:val="32"/>
        </w:rPr>
        <w:lastRenderedPageBreak/>
        <w:t>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FE78BA" w:rsidRDefault="00FE370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13</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E78BA" w:rsidRDefault="00FE370A">
      <w:pPr>
        <w:spacing w:line="600" w:lineRule="exact"/>
        <w:jc w:val="center"/>
        <w:outlineLvl w:val="0"/>
        <w:rPr>
          <w:rStyle w:val="1Char"/>
          <w:rFonts w:ascii="黑体" w:eastAsia="黑体" w:hAnsi="黑体"/>
          <w:b w:val="0"/>
        </w:rPr>
      </w:pPr>
      <w:bookmarkStart w:id="37" w:name="_Toc15377226"/>
      <w:r>
        <w:rPr>
          <w:rFonts w:ascii="宋体"/>
          <w:b/>
          <w:color w:val="000000"/>
          <w:sz w:val="44"/>
          <w:szCs w:val="44"/>
        </w:rPr>
        <w:br w:type="page"/>
      </w:r>
    </w:p>
    <w:p w:rsidR="00FE78BA" w:rsidRDefault="00FE78BA">
      <w:pPr>
        <w:spacing w:line="600" w:lineRule="exact"/>
        <w:jc w:val="center"/>
        <w:outlineLvl w:val="0"/>
        <w:rPr>
          <w:rStyle w:val="1Char"/>
          <w:rFonts w:ascii="黑体" w:eastAsia="黑体" w:hAnsi="黑体"/>
          <w:b w:val="0"/>
        </w:rPr>
      </w:pPr>
    </w:p>
    <w:p w:rsidR="00FE78BA" w:rsidRDefault="00FE370A">
      <w:pPr>
        <w:spacing w:line="600" w:lineRule="exact"/>
        <w:jc w:val="center"/>
        <w:outlineLvl w:val="0"/>
        <w:rPr>
          <w:rStyle w:val="1Char"/>
          <w:rFonts w:ascii="黑体" w:eastAsia="黑体" w:hAnsi="黑体"/>
          <w:b w:val="0"/>
        </w:rPr>
      </w:pPr>
      <w:bookmarkStart w:id="38" w:name="_Toc15396618"/>
      <w:r>
        <w:rPr>
          <w:rFonts w:ascii="黑体" w:eastAsia="黑体" w:hAnsi="黑体" w:hint="eastAsia"/>
          <w:color w:val="000000"/>
          <w:sz w:val="44"/>
          <w:szCs w:val="44"/>
        </w:rPr>
        <w:t>第</w:t>
      </w:r>
      <w:r>
        <w:rPr>
          <w:rStyle w:val="1Char"/>
          <w:rFonts w:ascii="黑体" w:eastAsia="黑体" w:hAnsi="黑体" w:hint="eastAsia"/>
          <w:b w:val="0"/>
        </w:rPr>
        <w:t>四部分 附表</w:t>
      </w:r>
      <w:bookmarkEnd w:id="37"/>
      <w:bookmarkEnd w:id="38"/>
    </w:p>
    <w:p w:rsidR="00FE78BA" w:rsidRDefault="00FE78BA">
      <w:pPr>
        <w:spacing w:line="600" w:lineRule="exact"/>
        <w:jc w:val="center"/>
        <w:outlineLvl w:val="0"/>
        <w:rPr>
          <w:rFonts w:ascii="仿宋" w:eastAsia="仿宋" w:hAnsi="仿宋"/>
          <w:b/>
          <w:color w:val="000000"/>
          <w:sz w:val="44"/>
          <w:szCs w:val="44"/>
        </w:rPr>
      </w:pPr>
    </w:p>
    <w:p w:rsidR="00FE78BA" w:rsidRDefault="00FE370A">
      <w:pPr>
        <w:pStyle w:val="2"/>
        <w:rPr>
          <w:rFonts w:ascii="仿宋" w:eastAsia="仿宋" w:hAnsi="仿宋"/>
          <w:color w:val="000000"/>
        </w:rPr>
      </w:pPr>
      <w:bookmarkStart w:id="39" w:name="_Toc15396619"/>
      <w:r>
        <w:rPr>
          <w:rFonts w:ascii="仿宋" w:eastAsia="仿宋" w:hAnsi="仿宋" w:hint="eastAsia"/>
          <w:b w:val="0"/>
          <w:color w:val="000000"/>
        </w:rPr>
        <w:t>一、收</w:t>
      </w:r>
      <w:r>
        <w:rPr>
          <w:rStyle w:val="2Char"/>
          <w:rFonts w:ascii="仿宋" w:eastAsia="仿宋" w:hAnsi="仿宋" w:hint="eastAsia"/>
        </w:rPr>
        <w:t>入支出决算总表</w:t>
      </w:r>
      <w:bookmarkEnd w:id="39"/>
    </w:p>
    <w:p w:rsidR="00FE78BA" w:rsidRDefault="00FE370A">
      <w:pPr>
        <w:pStyle w:val="2"/>
        <w:rPr>
          <w:rFonts w:ascii="仿宋" w:eastAsia="仿宋" w:hAnsi="仿宋"/>
          <w:color w:val="000000"/>
        </w:rPr>
      </w:pPr>
      <w:bookmarkStart w:id="40" w:name="_Toc15396620"/>
      <w:r>
        <w:rPr>
          <w:rFonts w:ascii="仿宋" w:eastAsia="仿宋" w:hAnsi="仿宋" w:hint="eastAsia"/>
          <w:b w:val="0"/>
          <w:color w:val="000000"/>
        </w:rPr>
        <w:t>二、收</w:t>
      </w:r>
      <w:r>
        <w:rPr>
          <w:rStyle w:val="2Char"/>
          <w:rFonts w:ascii="仿宋" w:eastAsia="仿宋" w:hAnsi="仿宋" w:hint="eastAsia"/>
        </w:rPr>
        <w:t>入决算表</w:t>
      </w:r>
      <w:bookmarkEnd w:id="40"/>
    </w:p>
    <w:p w:rsidR="00FE78BA" w:rsidRDefault="00FE370A">
      <w:pPr>
        <w:pStyle w:val="2"/>
        <w:rPr>
          <w:rFonts w:ascii="仿宋" w:eastAsia="仿宋" w:hAnsi="仿宋"/>
          <w:color w:val="000000"/>
        </w:rPr>
      </w:pPr>
      <w:bookmarkStart w:id="41"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41"/>
    </w:p>
    <w:p w:rsidR="00FE78BA" w:rsidRDefault="00FE370A">
      <w:pPr>
        <w:pStyle w:val="2"/>
        <w:rPr>
          <w:rFonts w:ascii="仿宋" w:eastAsia="仿宋" w:hAnsi="仿宋"/>
          <w:b w:val="0"/>
          <w:color w:val="000000"/>
        </w:rPr>
      </w:pPr>
      <w:bookmarkStart w:id="42"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42"/>
    </w:p>
    <w:p w:rsidR="00FE78BA" w:rsidRDefault="00FE370A">
      <w:pPr>
        <w:pStyle w:val="2"/>
        <w:rPr>
          <w:rStyle w:val="2Char"/>
          <w:rFonts w:ascii="仿宋" w:eastAsia="仿宋" w:hAnsi="仿宋"/>
        </w:rPr>
      </w:pPr>
      <w:bookmarkStart w:id="43"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44" w:name="_Toc15396624"/>
      <w:bookmarkEnd w:id="43"/>
    </w:p>
    <w:p w:rsidR="00FE78BA" w:rsidRDefault="00FE370A">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44"/>
    </w:p>
    <w:p w:rsidR="00FE78BA" w:rsidRDefault="00FE370A">
      <w:pPr>
        <w:pStyle w:val="2"/>
        <w:rPr>
          <w:rFonts w:ascii="仿宋" w:eastAsia="仿宋" w:hAnsi="仿宋"/>
          <w:color w:val="000000"/>
        </w:rPr>
      </w:pPr>
      <w:bookmarkStart w:id="45"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45"/>
    </w:p>
    <w:p w:rsidR="00FE78BA" w:rsidRDefault="00FE370A">
      <w:pPr>
        <w:pStyle w:val="2"/>
        <w:rPr>
          <w:rFonts w:ascii="仿宋" w:eastAsia="仿宋" w:hAnsi="仿宋"/>
          <w:color w:val="000000"/>
        </w:rPr>
      </w:pPr>
      <w:bookmarkStart w:id="46"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46"/>
    </w:p>
    <w:p w:rsidR="00FE78BA" w:rsidRDefault="00FE370A">
      <w:pPr>
        <w:pStyle w:val="2"/>
        <w:rPr>
          <w:rFonts w:ascii="仿宋" w:eastAsia="仿宋" w:hAnsi="仿宋"/>
          <w:color w:val="000000"/>
        </w:rPr>
      </w:pPr>
      <w:bookmarkStart w:id="47"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47"/>
    </w:p>
    <w:p w:rsidR="00FE78BA" w:rsidRDefault="00FE370A">
      <w:pPr>
        <w:pStyle w:val="2"/>
        <w:rPr>
          <w:rFonts w:ascii="仿宋" w:eastAsia="仿宋" w:hAnsi="仿宋"/>
          <w:color w:val="000000"/>
        </w:rPr>
      </w:pPr>
      <w:bookmarkStart w:id="48"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48"/>
    </w:p>
    <w:p w:rsidR="00FE78BA" w:rsidRDefault="00FE370A">
      <w:pPr>
        <w:pStyle w:val="2"/>
        <w:rPr>
          <w:rFonts w:ascii="仿宋" w:eastAsia="仿宋" w:hAnsi="仿宋"/>
          <w:color w:val="000000"/>
        </w:rPr>
      </w:pPr>
      <w:bookmarkStart w:id="49"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49"/>
    </w:p>
    <w:p w:rsidR="00FE78BA" w:rsidRDefault="00FE370A">
      <w:pPr>
        <w:pStyle w:val="2"/>
        <w:rPr>
          <w:rFonts w:ascii="仿宋" w:eastAsia="仿宋" w:hAnsi="仿宋"/>
          <w:color w:val="000000"/>
        </w:rPr>
      </w:pPr>
      <w:bookmarkStart w:id="50"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50"/>
    </w:p>
    <w:p w:rsidR="00FE78BA" w:rsidRDefault="00FE370A">
      <w:pPr>
        <w:pStyle w:val="2"/>
        <w:rPr>
          <w:rFonts w:ascii="仿宋" w:eastAsia="仿宋" w:hAnsi="仿宋"/>
          <w:color w:val="000000" w:themeColor="text1"/>
        </w:rPr>
      </w:pPr>
      <w:bookmarkStart w:id="51"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51"/>
    </w:p>
    <w:sectPr w:rsidR="00FE78BA">
      <w:headerReference w:type="default" r:id="rId12"/>
      <w:footerReference w:type="default" r:id="rId13"/>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815" w:rsidRDefault="00FE370A">
      <w:r>
        <w:separator/>
      </w:r>
    </w:p>
  </w:endnote>
  <w:endnote w:type="continuationSeparator" w:id="0">
    <w:p w:rsidR="008B3815" w:rsidRDefault="00FE3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781956"/>
    </w:sdtPr>
    <w:sdtEndPr/>
    <w:sdtContent>
      <w:p w:rsidR="00FE78BA" w:rsidRDefault="00FE370A">
        <w:pPr>
          <w:pStyle w:val="a5"/>
          <w:jc w:val="center"/>
        </w:pPr>
        <w:r>
          <w:fldChar w:fldCharType="begin"/>
        </w:r>
        <w:r>
          <w:instrText>PAGE   \* MERGEFORMAT</w:instrText>
        </w:r>
        <w:r>
          <w:fldChar w:fldCharType="separate"/>
        </w:r>
        <w:r w:rsidR="00281FFA" w:rsidRPr="00281FFA">
          <w:rPr>
            <w:noProof/>
            <w:lang w:val="zh-CN"/>
          </w:rPr>
          <w:t>11</w:t>
        </w:r>
        <w:r>
          <w:fldChar w:fldCharType="end"/>
        </w:r>
      </w:p>
    </w:sdtContent>
  </w:sdt>
  <w:p w:rsidR="00FE78BA" w:rsidRDefault="00FE78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815" w:rsidRDefault="00FE370A">
      <w:r>
        <w:separator/>
      </w:r>
    </w:p>
  </w:footnote>
  <w:footnote w:type="continuationSeparator" w:id="0">
    <w:p w:rsidR="008B3815" w:rsidRDefault="00FE3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8BA" w:rsidRDefault="00FE78BA">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1"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0089"/>
    <w:rsid w:val="00260C38"/>
    <w:rsid w:val="002616C0"/>
    <w:rsid w:val="00265372"/>
    <w:rsid w:val="002662AA"/>
    <w:rsid w:val="00280496"/>
    <w:rsid w:val="00281FFA"/>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E3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56E"/>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3815"/>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004"/>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E370A"/>
    <w:rsid w:val="00FE78BA"/>
    <w:rsid w:val="00FF1E02"/>
    <w:rsid w:val="00FF30B4"/>
    <w:rsid w:val="10C055FF"/>
    <w:rsid w:val="16BB723D"/>
    <w:rsid w:val="240371BF"/>
    <w:rsid w:val="29FD04D3"/>
    <w:rsid w:val="319F7F4E"/>
    <w:rsid w:val="357F5F51"/>
    <w:rsid w:val="4ECE2238"/>
    <w:rsid w:val="7273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750B61BD-9189-48FD-AB7C-66908CE8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character" w:styleId="a7">
    <w:name w:val="Strong"/>
    <w:basedOn w:val="a0"/>
    <w:uiPriority w:val="99"/>
    <w:qFormat/>
    <w:rPr>
      <w:b/>
    </w:rPr>
  </w:style>
  <w:style w:type="character" w:styleId="a8">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aike.baidu.com/item/%E5%9B%9B%E5%B7%9D/21256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9%9A%86%E6%98%8C%E5%8E%BF/686354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ike.baidu.com/item/%E5%AF%8C%E9%A1%BA%E5%8E%BF/296510" TargetMode="External"/><Relationship Id="rId4" Type="http://schemas.openxmlformats.org/officeDocument/2006/relationships/settings" Target="settings.xml"/><Relationship Id="rId9" Type="http://schemas.openxmlformats.org/officeDocument/2006/relationships/hyperlink" Target="https://baike.baidu.com/item/%E6%B3%B8%E5%B7%9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900</Words>
  <Characters>5131</Characters>
  <Application>Microsoft Office Word</Application>
  <DocSecurity>0</DocSecurity>
  <Lines>42</Lines>
  <Paragraphs>12</Paragraphs>
  <ScaleCrop>false</ScaleCrop>
  <Company>四川省财政厅</Company>
  <LinksUpToDate>false</LinksUpToDate>
  <CharactersWithSpaces>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5</cp:revision>
  <cp:lastPrinted>2020-07-23T10:58:00Z</cp:lastPrinted>
  <dcterms:created xsi:type="dcterms:W3CDTF">2021-05-21T10:19:00Z</dcterms:created>
  <dcterms:modified xsi:type="dcterms:W3CDTF">2022-07-27T07:26:00Z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